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FB" w:rsidRPr="00F55419" w:rsidRDefault="00625B1D" w:rsidP="00F554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5134627</wp:posOffset>
                </wp:positionH>
                <wp:positionV relativeFrom="paragraph">
                  <wp:posOffset>4695568</wp:posOffset>
                </wp:positionV>
                <wp:extent cx="9058275" cy="5494637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75" cy="5494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D9" w:rsidRPr="00042D80" w:rsidRDefault="003051A4">
                            <w:pPr>
                              <w:rPr>
                                <w:b/>
                              </w:rPr>
                            </w:pPr>
                            <w:r w:rsidRPr="003051A4">
                              <w:rPr>
                                <w:b/>
                              </w:rPr>
                              <w:t xml:space="preserve">  </w:t>
                            </w:r>
                            <w:r w:rsidR="00042D80" w:rsidRPr="00042D80">
                              <w:rPr>
                                <w:b/>
                                <w:color w:val="5B9BD5" w:themeColor="accent1"/>
                              </w:rPr>
                              <w:t xml:space="preserve">Fig 5: </w:t>
                            </w:r>
                            <w:r w:rsidR="00051D61" w:rsidRPr="00042D80">
                              <w:rPr>
                                <w:b/>
                                <w:color w:val="5B9BD5" w:themeColor="accent1"/>
                              </w:rPr>
                              <w:t>Housing s</w:t>
                            </w:r>
                            <w:r w:rsidR="001D35E6" w:rsidRPr="00042D80">
                              <w:rPr>
                                <w:b/>
                                <w:color w:val="5B9BD5" w:themeColor="accent1"/>
                              </w:rPr>
                              <w:t xml:space="preserve">ites </w:t>
                            </w:r>
                            <w:r w:rsidR="00466CF6" w:rsidRPr="00042D80">
                              <w:rPr>
                                <w:b/>
                                <w:color w:val="5B9BD5" w:themeColor="accent1"/>
                              </w:rPr>
                              <w:t>currently</w:t>
                            </w:r>
                            <w:r w:rsidR="004A4837" w:rsidRPr="00042D80">
                              <w:rPr>
                                <w:b/>
                                <w:color w:val="5B9BD5" w:themeColor="accent1"/>
                              </w:rPr>
                              <w:t xml:space="preserve"> under construction</w:t>
                            </w:r>
                            <w:r w:rsidR="00AD20F5">
                              <w:rPr>
                                <w:b/>
                                <w:color w:val="5B9BD5" w:themeColor="accent1"/>
                              </w:rPr>
                              <w:t xml:space="preserve"> and delivery against targets (April-Sept 2017)</w:t>
                            </w:r>
                          </w:p>
                          <w:p w:rsidR="00625B1D" w:rsidRDefault="00540D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FDC0C0" wp14:editId="3AAAB5D6">
                                  <wp:extent cx="8869045" cy="4209415"/>
                                  <wp:effectExtent l="0" t="0" r="8255" b="635"/>
                                  <wp:docPr id="4" name="Char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r w:rsidR="00421AFC">
                              <w:rPr>
                                <w:b/>
                              </w:rPr>
                              <w:t>There are current</w:t>
                            </w:r>
                            <w:r w:rsidR="00662387">
                              <w:rPr>
                                <w:b/>
                              </w:rPr>
                              <w:t>ly</w:t>
                            </w:r>
                            <w:r w:rsidR="00421AFC">
                              <w:rPr>
                                <w:b/>
                              </w:rPr>
                              <w:t xml:space="preserve"> 32 housing sites under construction.  </w:t>
                            </w:r>
                          </w:p>
                          <w:p w:rsidR="00E155E2" w:rsidRPr="00C95016" w:rsidRDefault="00421AFC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table above shows the year that </w:t>
                            </w:r>
                            <w:r w:rsidR="00662387">
                              <w:rPr>
                                <w:b/>
                              </w:rPr>
                              <w:t>construction commenced and how sites have performed in the last six months a</w:t>
                            </w:r>
                            <w:r>
                              <w:rPr>
                                <w:b/>
                              </w:rPr>
                              <w:t>gainst targets for the same period</w:t>
                            </w:r>
                            <w:r w:rsidR="0066238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4.3pt;margin-top:369.75pt;width:713.25pt;height:432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IJmQIAALw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" fillcolor="white [3201]" strokeweight=".5pt">
                <v:textbox>
                  <w:txbxContent>
                    <w:p w:rsidR="00CB19D9" w:rsidRPr="00042D80" w:rsidRDefault="003051A4">
                      <w:pPr>
                        <w:rPr>
                          <w:b/>
                        </w:rPr>
                      </w:pPr>
                      <w:r w:rsidRPr="003051A4">
                        <w:rPr>
                          <w:b/>
                        </w:rPr>
                        <w:t xml:space="preserve">  </w:t>
                      </w:r>
                      <w:r w:rsidR="00042D80" w:rsidRPr="00042D80">
                        <w:rPr>
                          <w:b/>
                          <w:color w:val="5B9BD5" w:themeColor="accent1"/>
                        </w:rPr>
                        <w:t xml:space="preserve">Fig 5: </w:t>
                      </w:r>
                      <w:r w:rsidR="00051D61" w:rsidRPr="00042D80">
                        <w:rPr>
                          <w:b/>
                          <w:color w:val="5B9BD5" w:themeColor="accent1"/>
                        </w:rPr>
                        <w:t>Housing s</w:t>
                      </w:r>
                      <w:r w:rsidR="001D35E6" w:rsidRPr="00042D80">
                        <w:rPr>
                          <w:b/>
                          <w:color w:val="5B9BD5" w:themeColor="accent1"/>
                        </w:rPr>
                        <w:t xml:space="preserve">ites </w:t>
                      </w:r>
                      <w:r w:rsidR="00466CF6" w:rsidRPr="00042D80">
                        <w:rPr>
                          <w:b/>
                          <w:color w:val="5B9BD5" w:themeColor="accent1"/>
                        </w:rPr>
                        <w:t>currently</w:t>
                      </w:r>
                      <w:r w:rsidR="004A4837" w:rsidRPr="00042D80">
                        <w:rPr>
                          <w:b/>
                          <w:color w:val="5B9BD5" w:themeColor="accent1"/>
                        </w:rPr>
                        <w:t xml:space="preserve"> under construction</w:t>
                      </w:r>
                      <w:r w:rsidR="00AD20F5">
                        <w:rPr>
                          <w:b/>
                          <w:color w:val="5B9BD5" w:themeColor="accent1"/>
                        </w:rPr>
                        <w:t xml:space="preserve"> and delivery against targets (April-Sept 2017)</w:t>
                      </w:r>
                    </w:p>
                    <w:p w:rsidR="00625B1D" w:rsidRDefault="00540D50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FDC0C0" wp14:editId="3AAAB5D6">
                            <wp:extent cx="8869045" cy="4209415"/>
                            <wp:effectExtent l="0" t="0" r="8255" b="635"/>
                            <wp:docPr id="4" name="Chart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  <w:r w:rsidR="00421AFC">
                        <w:rPr>
                          <w:b/>
                        </w:rPr>
                        <w:t>There are current</w:t>
                      </w:r>
                      <w:r w:rsidR="00662387">
                        <w:rPr>
                          <w:b/>
                        </w:rPr>
                        <w:t>ly</w:t>
                      </w:r>
                      <w:r w:rsidR="00421AFC">
                        <w:rPr>
                          <w:b/>
                        </w:rPr>
                        <w:t xml:space="preserve"> 32 housing sites under construction.  </w:t>
                      </w:r>
                    </w:p>
                    <w:p w:rsidR="00E155E2" w:rsidRPr="00C95016" w:rsidRDefault="00421AFC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The table above shows the year that </w:t>
                      </w:r>
                      <w:r w:rsidR="00662387">
                        <w:rPr>
                          <w:b/>
                        </w:rPr>
                        <w:t>construction commenced and how sites have performed in the last six months a</w:t>
                      </w:r>
                      <w:r>
                        <w:rPr>
                          <w:b/>
                        </w:rPr>
                        <w:t>gainst targets for the same period</w:t>
                      </w:r>
                      <w:r w:rsidR="00662387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10925827</wp:posOffset>
                </wp:positionH>
                <wp:positionV relativeFrom="paragraph">
                  <wp:posOffset>922638</wp:posOffset>
                </wp:positionV>
                <wp:extent cx="3333750" cy="3615982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61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5E6" w:rsidRPr="00042D80" w:rsidRDefault="00042D80" w:rsidP="001D35E6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 xml:space="preserve">Fig 4: </w:t>
                            </w:r>
                            <w:r w:rsidR="001D35E6" w:rsidRPr="00042D80">
                              <w:rPr>
                                <w:b/>
                                <w:color w:val="5B9BD5" w:themeColor="accent1"/>
                              </w:rPr>
                              <w:t xml:space="preserve">Percentage of </w:t>
                            </w:r>
                            <w:r w:rsidR="00051D61" w:rsidRPr="00042D80">
                              <w:rPr>
                                <w:b/>
                                <w:color w:val="5B9BD5" w:themeColor="accent1"/>
                              </w:rPr>
                              <w:t xml:space="preserve">housing </w:t>
                            </w:r>
                            <w:r w:rsidR="001D35E6" w:rsidRPr="00042D80">
                              <w:rPr>
                                <w:b/>
                                <w:color w:val="5B9BD5" w:themeColor="accent1"/>
                              </w:rPr>
                              <w:t xml:space="preserve">units with planning consent (outline or full) </w:t>
                            </w:r>
                          </w:p>
                          <w:p w:rsidR="00051D61" w:rsidRDefault="001D35E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2D14D6" wp14:editId="55852517">
                                  <wp:extent cx="3218228" cy="1874520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5015" cy="1890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    </w:t>
                            </w:r>
                          </w:p>
                          <w:p w:rsidR="00D856C6" w:rsidRPr="002D2D85" w:rsidRDefault="001D35E6">
                            <w:pPr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100%=17,484</w:t>
                            </w:r>
                            <w:r w:rsidR="00D856C6"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856C6" w:rsidRPr="002D2D85" w:rsidRDefault="00D856C6">
                            <w:pPr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Units submitted for planning since April 2017 = 1115.</w:t>
                            </w:r>
                            <w:r w:rsid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(target </w:t>
                            </w:r>
                            <w:bookmarkStart w:id="0" w:name="_GoBack"/>
                            <w:bookmarkEnd w:id="0"/>
                            <w:r w:rsidR="002D2D85"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390)</w:t>
                            </w:r>
                            <w:r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D35E6" w:rsidRPr="002D2D85" w:rsidRDefault="00D856C6">
                            <w:pPr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Units consented since April 2017 = 1147</w:t>
                            </w:r>
                            <w:r w:rsidR="002D2D85" w:rsidRPr="002D2D85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(target 400)</w:t>
                            </w:r>
                          </w:p>
                          <w:p w:rsidR="00D856C6" w:rsidRDefault="00D856C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D856C6" w:rsidRDefault="00D856C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D856C6" w:rsidRDefault="00D856C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1D35E6" w:rsidRPr="00F6649D" w:rsidRDefault="001D35E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860.3pt;margin-top:72.65pt;width:262.5pt;height:284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" fillcolor="white [3201]" strokeweight=".5pt">
                <v:textbox>
                  <w:txbxContent>
                    <w:p w:rsidR="001D35E6" w:rsidRPr="00042D80" w:rsidRDefault="00042D80" w:rsidP="001D35E6">
                      <w:pPr>
                        <w:jc w:val="center"/>
                        <w:rPr>
                          <w:b/>
                          <w:color w:val="5B9BD5" w:themeColor="accent1"/>
                        </w:rPr>
                      </w:pPr>
                      <w:r w:rsidRPr="00042D80">
                        <w:rPr>
                          <w:b/>
                          <w:color w:val="5B9BD5" w:themeColor="accent1"/>
                        </w:rPr>
                        <w:t xml:space="preserve">Fig 4: </w:t>
                      </w:r>
                      <w:r w:rsidR="001D35E6" w:rsidRPr="00042D80">
                        <w:rPr>
                          <w:b/>
                          <w:color w:val="5B9BD5" w:themeColor="accent1"/>
                        </w:rPr>
                        <w:t xml:space="preserve">Percentage of </w:t>
                      </w:r>
                      <w:r w:rsidR="00051D61" w:rsidRPr="00042D80">
                        <w:rPr>
                          <w:b/>
                          <w:color w:val="5B9BD5" w:themeColor="accent1"/>
                        </w:rPr>
                        <w:t xml:space="preserve">housing </w:t>
                      </w:r>
                      <w:r w:rsidR="001D35E6" w:rsidRPr="00042D80">
                        <w:rPr>
                          <w:b/>
                          <w:color w:val="5B9BD5" w:themeColor="accent1"/>
                        </w:rPr>
                        <w:t xml:space="preserve">units with planning consent (outline or full) </w:t>
                      </w:r>
                    </w:p>
                    <w:p w:rsidR="00051D61" w:rsidRDefault="001D35E6">
                      <w:p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2D14D6" wp14:editId="55852517">
                            <wp:extent cx="3218228" cy="1874520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5015" cy="1890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5B9BD5" w:themeColor="accent1"/>
                        </w:rPr>
                        <w:t xml:space="preserve">     </w:t>
                      </w:r>
                    </w:p>
                    <w:p w:rsidR="00D856C6" w:rsidRPr="002D2D85" w:rsidRDefault="001D35E6">
                      <w:pPr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 xml:space="preserve"> </w:t>
                      </w:r>
                      <w:r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100%=17,484</w:t>
                      </w:r>
                      <w:r w:rsidR="00D856C6"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856C6" w:rsidRPr="002D2D85" w:rsidRDefault="00D856C6">
                      <w:pPr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Units submitted for planning since April 2017 = 1115.</w:t>
                      </w:r>
                      <w:r w:rsid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</w:t>
                      </w:r>
                      <w:r w:rsid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(target </w:t>
                      </w:r>
                      <w:bookmarkStart w:id="1" w:name="_GoBack"/>
                      <w:bookmarkEnd w:id="1"/>
                      <w:r w:rsidR="002D2D85"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390)</w:t>
                      </w:r>
                      <w:r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D35E6" w:rsidRPr="002D2D85" w:rsidRDefault="00D856C6">
                      <w:pPr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>Units consented since April 2017 = 1147</w:t>
                      </w:r>
                      <w:r w:rsidR="002D2D85" w:rsidRPr="002D2D85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(target 400)</w:t>
                      </w:r>
                    </w:p>
                    <w:p w:rsidR="00D856C6" w:rsidRDefault="00D856C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p w:rsidR="00D856C6" w:rsidRDefault="00D856C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p w:rsidR="00D856C6" w:rsidRDefault="00D856C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p w:rsidR="001D35E6" w:rsidRPr="00F6649D" w:rsidRDefault="001D35E6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5455903</wp:posOffset>
                </wp:positionH>
                <wp:positionV relativeFrom="paragraph">
                  <wp:posOffset>782596</wp:posOffset>
                </wp:positionV>
                <wp:extent cx="5375910" cy="3756454"/>
                <wp:effectExtent l="0" t="0" r="1524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375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75E" w:rsidRDefault="00042D80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</w:rPr>
                              <w:t>Fig 3:</w:t>
                            </w:r>
                            <w:r w:rsidR="00BC055E">
                              <w:rPr>
                                <w:b/>
                                <w:color w:val="5B9BD5" w:themeColor="accent1"/>
                              </w:rPr>
                              <w:t xml:space="preserve"> Housing and </w:t>
                            </w:r>
                            <w:r w:rsidR="00BC055E" w:rsidRPr="000A077E">
                              <w:rPr>
                                <w:b/>
                                <w:color w:val="5B9BD5" w:themeColor="accent1"/>
                              </w:rPr>
                              <w:t>Employment s</w:t>
                            </w:r>
                            <w:r w:rsidR="00AD20F5" w:rsidRPr="000A077E">
                              <w:rPr>
                                <w:b/>
                                <w:color w:val="5B9BD5" w:themeColor="accent1"/>
                              </w:rPr>
                              <w:t>ites progressing well</w:t>
                            </w:r>
                          </w:p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2"/>
                              <w:gridCol w:w="6367"/>
                              <w:gridCol w:w="659"/>
                            </w:tblGrid>
                            <w:tr w:rsidR="00BC055E" w:rsidRPr="000A077E" w:rsidTr="00625B1D">
                              <w:tc>
                                <w:tcPr>
                                  <w:tcW w:w="1124" w:type="dxa"/>
                                  <w:shd w:val="clear" w:color="auto" w:fill="FFFFFF" w:themeFill="background1"/>
                                </w:tcPr>
                                <w:p w:rsidR="00BC055E" w:rsidRPr="00625B1D" w:rsidRDefault="00BC055E">
                                  <w:pPr>
                                    <w:rPr>
                                      <w:b/>
                                    </w:rPr>
                                  </w:pPr>
                                  <w:r w:rsidRPr="00625B1D">
                                    <w:rPr>
                                      <w:b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E7E6E6" w:themeFill="background2"/>
                                </w:tcPr>
                                <w:p w:rsidR="00BC055E" w:rsidRPr="00625B1D" w:rsidRDefault="00BC055E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BC055E" w:rsidRPr="00625B1D" w:rsidRDefault="000A077E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</w:rPr>
                                    <w:t>RAG</w:t>
                                  </w:r>
                                </w:p>
                              </w:tc>
                            </w:tr>
                            <w:tr w:rsidR="000A077E" w:rsidTr="00625B1D">
                              <w:tc>
                                <w:tcPr>
                                  <w:tcW w:w="1124" w:type="dxa"/>
                                  <w:shd w:val="clear" w:color="auto" w:fill="FFFFFF" w:themeFill="background1"/>
                                </w:tcPr>
                                <w:p w:rsidR="000A077E" w:rsidRPr="00625B1D" w:rsidRDefault="000A077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E7E6E6" w:themeFill="background2"/>
                                </w:tcPr>
                                <w:p w:rsidR="000A077E" w:rsidRPr="00625B1D" w:rsidRDefault="000A077E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HOUSING SITES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E7E6E6" w:themeFill="background2"/>
                                  <w:vAlign w:val="center"/>
                                </w:tcPr>
                                <w:p w:rsidR="000A077E" w:rsidRPr="000A077E" w:rsidRDefault="000A077E" w:rsidP="006C01FF">
                                  <w:pPr>
                                    <w:shd w:val="clear" w:color="auto" w:fill="FFFFFF" w:themeFill="background1"/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BC0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The masterplan for Moss side Test Track was approved by planning in July 2017 and outline anticipated by the end of the year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Default="000A077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2BFFF4B3" wp14:editId="155B519E">
                                        <wp:extent cx="171450" cy="13335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BC0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0A077E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All NW Preston sites are progressing well, </w:t>
                                  </w:r>
                                  <w:r w:rsidR="000A077E"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aydock Grange is progressing particularly quickly and </w:t>
                                  </w:r>
                                  <w:proofErr w:type="spellStart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Eastway</w:t>
                                  </w:r>
                                  <w:proofErr w:type="spellEnd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is also performing well.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BC0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Altcar</w:t>
                                  </w:r>
                                  <w:proofErr w:type="spellEnd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lane has gained outline planning permission and reserved matters submission s expected in the near future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BC055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The southern end of the </w:t>
                                  </w:r>
                                  <w:proofErr w:type="spellStart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Croston</w:t>
                                  </w:r>
                                  <w:proofErr w:type="spellEnd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Road site is progressing at pace and the HCA is looking at options to facilitate the delivery of the spine road on the northern section of the site.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A077E" w:rsidTr="00625B1D">
                              <w:tc>
                                <w:tcPr>
                                  <w:tcW w:w="1124" w:type="dxa"/>
                                  <w:shd w:val="clear" w:color="auto" w:fill="FFFFFF" w:themeFill="background1"/>
                                </w:tcPr>
                                <w:p w:rsidR="000A077E" w:rsidRPr="00625B1D" w:rsidRDefault="000A077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shd w:val="clear" w:color="auto" w:fill="FFFFFF" w:themeFill="background1"/>
                                </w:tcPr>
                                <w:p w:rsidR="000A077E" w:rsidRPr="00625B1D" w:rsidRDefault="000A077E" w:rsidP="006C01FF">
                                  <w:pP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EMPLOYMENT SITES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0A077E" w:rsidRPr="00BC055E" w:rsidRDefault="000A077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0A0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Red Scar – Phase 2 completed following strong occupation of Phase 1</w:t>
                                  </w:r>
                                </w:p>
                                <w:p w:rsidR="000A077E" w:rsidRPr="00625B1D" w:rsidRDefault="000A077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Pr="008A672A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0A0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BC055E">
                                  <w:pPr>
                                    <w:tabs>
                                      <w:tab w:val="left" w:pos="363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Preston East (Sector D) – commenced on site </w:t>
                                  </w:r>
                                </w:p>
                                <w:p w:rsidR="000A077E" w:rsidRPr="00625B1D" w:rsidRDefault="000A077E" w:rsidP="00BC055E">
                                  <w:pPr>
                                    <w:tabs>
                                      <w:tab w:val="left" w:pos="363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Pr="008A672A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0A0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BC055E">
                                  <w:pPr>
                                    <w:tabs>
                                      <w:tab w:val="left" w:pos="0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UCLAN Campus (Engineering Innovation College) – commenced on site </w:t>
                                  </w:r>
                                </w:p>
                                <w:p w:rsidR="000A077E" w:rsidRPr="00625B1D" w:rsidRDefault="000A077E" w:rsidP="00BC055E">
                                  <w:pPr>
                                    <w:tabs>
                                      <w:tab w:val="left" w:pos="0"/>
                                    </w:tabs>
                                    <w:ind w:left="360" w:hanging="422"/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Pr="00BC055E" w:rsidRDefault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0A0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0A077E">
                                  <w:pPr>
                                    <w:tabs>
                                      <w:tab w:val="left" w:pos="426"/>
                                    </w:tabs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South Rings employment site – commenced on site </w:t>
                                  </w:r>
                                </w:p>
                                <w:p w:rsidR="000A077E" w:rsidRPr="00625B1D" w:rsidRDefault="000A077E" w:rsidP="000A077E">
                                  <w:pPr>
                                    <w:tabs>
                                      <w:tab w:val="left" w:pos="426"/>
                                    </w:tabs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Pr="00BC055E" w:rsidRDefault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C055E" w:rsidTr="00625B1D">
                              <w:tc>
                                <w:tcPr>
                                  <w:tcW w:w="1124" w:type="dxa"/>
                                </w:tcPr>
                                <w:p w:rsidR="00BC055E" w:rsidRPr="00625B1D" w:rsidRDefault="000A07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5B1D">
                                    <w:rPr>
                                      <w:sz w:val="18"/>
                                      <w:szCs w:val="18"/>
                                    </w:rPr>
                                    <w:t>PR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:rsidR="00BC055E" w:rsidRPr="00625B1D" w:rsidRDefault="00BC055E" w:rsidP="000A077E">
                                  <w:pPr>
                                    <w:tabs>
                                      <w:tab w:val="left" w:pos="426"/>
                                    </w:tabs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Horrocks</w:t>
                                  </w:r>
                                  <w:proofErr w:type="spellEnd"/>
                                  <w:r w:rsidRPr="00625B1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Development – Phase 2 completed</w:t>
                                  </w:r>
                                </w:p>
                                <w:p w:rsidR="00BC055E" w:rsidRPr="00625B1D" w:rsidRDefault="00BC055E" w:rsidP="006C01FF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BC055E" w:rsidRPr="00BC055E" w:rsidRDefault="00BC055E" w:rsidP="006C01FF">
                                  <w:pPr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</w:pPr>
                                  <w:r w:rsidRPr="00BC055E">
                                    <w:rPr>
                                      <w:rFonts w:cs="Arial"/>
                                      <w:noProof/>
                                      <w:sz w:val="18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71450" cy="13335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C055E" w:rsidRPr="00177197" w:rsidRDefault="00BC055E" w:rsidP="00BC055E">
                            <w:pPr>
                              <w:tabs>
                                <w:tab w:val="left" w:pos="426"/>
                              </w:tabs>
                              <w:ind w:left="360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055E" w:rsidRPr="00177197" w:rsidRDefault="00BC055E" w:rsidP="00BC055E">
                            <w:pPr>
                              <w:tabs>
                                <w:tab w:val="left" w:pos="426"/>
                              </w:tabs>
                              <w:ind w:left="360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21E4" w:rsidRDefault="00E021E4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  <w:p w:rsidR="00E021E4" w:rsidRPr="00703B36" w:rsidRDefault="00E021E4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29.6pt;margin-top:61.6pt;width:423.3pt;height:29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fAlg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" fillcolor="white [3201]" strokeweight=".5pt">
                <v:textbox>
                  <w:txbxContent>
                    <w:p w:rsidR="0051075E" w:rsidRDefault="00042D80">
                      <w:pPr>
                        <w:rPr>
                          <w:b/>
                          <w:color w:val="5B9BD5" w:themeColor="accent1"/>
                        </w:rPr>
                      </w:pPr>
                      <w:r>
                        <w:rPr>
                          <w:b/>
                          <w:color w:val="5B9BD5" w:themeColor="accent1"/>
                        </w:rPr>
                        <w:t>Fig 3:</w:t>
                      </w:r>
                      <w:r w:rsidR="00BC055E">
                        <w:rPr>
                          <w:b/>
                          <w:color w:val="5B9BD5" w:themeColor="accent1"/>
                        </w:rPr>
                        <w:t xml:space="preserve"> Housing and </w:t>
                      </w:r>
                      <w:r w:rsidR="00BC055E" w:rsidRPr="000A077E">
                        <w:rPr>
                          <w:b/>
                          <w:color w:val="5B9BD5" w:themeColor="accent1"/>
                        </w:rPr>
                        <w:t>Employment s</w:t>
                      </w:r>
                      <w:r w:rsidR="00AD20F5" w:rsidRPr="000A077E">
                        <w:rPr>
                          <w:b/>
                          <w:color w:val="5B9BD5" w:themeColor="accent1"/>
                        </w:rPr>
                        <w:t>ites progressing well</w:t>
                      </w:r>
                    </w:p>
                    <w:tbl>
                      <w:tblPr>
                        <w:tblStyle w:val="TableGrid"/>
                        <w:tblW w:w="5000" w:type="pct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2"/>
                        <w:gridCol w:w="6367"/>
                        <w:gridCol w:w="659"/>
                      </w:tblGrid>
                      <w:tr w:rsidR="00BC055E" w:rsidRPr="000A077E" w:rsidTr="00625B1D">
                        <w:tc>
                          <w:tcPr>
                            <w:tcW w:w="1124" w:type="dxa"/>
                            <w:shd w:val="clear" w:color="auto" w:fill="FFFFFF" w:themeFill="background1"/>
                          </w:tcPr>
                          <w:p w:rsidR="00BC055E" w:rsidRPr="00625B1D" w:rsidRDefault="00BC055E">
                            <w:pPr>
                              <w:rPr>
                                <w:b/>
                              </w:rPr>
                            </w:pPr>
                            <w:r w:rsidRPr="00625B1D">
                              <w:rPr>
                                <w:b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6379" w:type="dxa"/>
                            <w:shd w:val="clear" w:color="auto" w:fill="E7E6E6" w:themeFill="background2"/>
                          </w:tcPr>
                          <w:p w:rsidR="00BC055E" w:rsidRPr="00625B1D" w:rsidRDefault="00BC055E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E7E6E6" w:themeFill="background2"/>
                            <w:vAlign w:val="center"/>
                          </w:tcPr>
                          <w:p w:rsidR="00BC055E" w:rsidRPr="00625B1D" w:rsidRDefault="000A077E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</w:rPr>
                              <w:t>RAG</w:t>
                            </w:r>
                          </w:p>
                        </w:tc>
                      </w:tr>
                      <w:tr w:rsidR="000A077E" w:rsidTr="00625B1D">
                        <w:tc>
                          <w:tcPr>
                            <w:tcW w:w="1124" w:type="dxa"/>
                            <w:shd w:val="clear" w:color="auto" w:fill="FFFFFF" w:themeFill="background1"/>
                          </w:tcPr>
                          <w:p w:rsidR="000A077E" w:rsidRPr="00625B1D" w:rsidRDefault="000A07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E7E6E6" w:themeFill="background2"/>
                          </w:tcPr>
                          <w:p w:rsidR="000A077E" w:rsidRPr="00625B1D" w:rsidRDefault="000A077E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HOUSING SITES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E7E6E6" w:themeFill="background2"/>
                            <w:vAlign w:val="center"/>
                          </w:tcPr>
                          <w:p w:rsidR="000A077E" w:rsidRPr="000A077E" w:rsidRDefault="000A077E" w:rsidP="006C01FF">
                            <w:pPr>
                              <w:shd w:val="clear" w:color="auto" w:fill="FFFFFF" w:themeFill="background1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BC0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The masterplan for Moss side Test Track was approved by planning in July 2017 and outline anticipated by the end of the year</w:t>
                            </w: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Default="000A077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BFFF4B3" wp14:editId="155B519E">
                                  <wp:extent cx="171450" cy="1333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BC0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0A077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All NW Preston sites are progressing well, </w:t>
                            </w:r>
                            <w:r w:rsidR="000A077E"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H</w:t>
                            </w: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aydock Grange is progressing particularly quickly and </w:t>
                            </w:r>
                            <w:proofErr w:type="spellStart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Eastway</w:t>
                            </w:r>
                            <w:proofErr w:type="spellEnd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is also performing well.</w:t>
                            </w: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Default="00BC055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BC0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Altcar</w:t>
                            </w:r>
                            <w:proofErr w:type="spellEnd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lane has gained outline planning permission and reserved matters submission s expected in the near future</w:t>
                            </w: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Default="00BC055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BC05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southern end of the </w:t>
                            </w:r>
                            <w:proofErr w:type="spellStart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Croston</w:t>
                            </w:r>
                            <w:proofErr w:type="spellEnd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Road site is progressing at pace and the HCA is looking at options to facilitate the delivery of the spine road on the northern section of the site.</w:t>
                            </w: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Default="00BC055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A077E" w:rsidTr="00625B1D">
                        <w:tc>
                          <w:tcPr>
                            <w:tcW w:w="1124" w:type="dxa"/>
                            <w:shd w:val="clear" w:color="auto" w:fill="FFFFFF" w:themeFill="background1"/>
                          </w:tcPr>
                          <w:p w:rsidR="000A077E" w:rsidRPr="00625B1D" w:rsidRDefault="000A077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shd w:val="clear" w:color="auto" w:fill="FFFFFF" w:themeFill="background1"/>
                          </w:tcPr>
                          <w:p w:rsidR="000A077E" w:rsidRPr="00625B1D" w:rsidRDefault="000A077E" w:rsidP="006C01FF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EMPLOYMENT SITES</w:t>
                            </w:r>
                          </w:p>
                        </w:tc>
                        <w:tc>
                          <w:tcPr>
                            <w:tcW w:w="660" w:type="dxa"/>
                            <w:shd w:val="clear" w:color="auto" w:fill="FFFFFF" w:themeFill="background1"/>
                            <w:vAlign w:val="center"/>
                          </w:tcPr>
                          <w:p w:rsidR="000A077E" w:rsidRPr="00BC055E" w:rsidRDefault="000A077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0A0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Red Scar – Phase 2 completed following strong occupation of Phase 1</w:t>
                            </w:r>
                          </w:p>
                          <w:p w:rsidR="000A077E" w:rsidRPr="00625B1D" w:rsidRDefault="000A077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Pr="008A672A" w:rsidRDefault="00BC055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0A0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BC055E">
                            <w:pPr>
                              <w:tabs>
                                <w:tab w:val="left" w:pos="363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Preston East (Sector D) – commenced on site </w:t>
                            </w:r>
                          </w:p>
                          <w:p w:rsidR="000A077E" w:rsidRPr="00625B1D" w:rsidRDefault="000A077E" w:rsidP="00BC055E">
                            <w:pPr>
                              <w:tabs>
                                <w:tab w:val="left" w:pos="363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Pr="008A672A" w:rsidRDefault="00BC055E" w:rsidP="006C01F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0A0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BC055E">
                            <w:pPr>
                              <w:tabs>
                                <w:tab w:val="left" w:pos="0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UCLAN Campus (Engineering Innovation College) – commenced on site </w:t>
                            </w:r>
                          </w:p>
                          <w:p w:rsidR="000A077E" w:rsidRPr="00625B1D" w:rsidRDefault="000A077E" w:rsidP="00BC055E">
                            <w:pPr>
                              <w:tabs>
                                <w:tab w:val="left" w:pos="0"/>
                              </w:tabs>
                              <w:ind w:left="360" w:hanging="422"/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Pr="00BC055E" w:rsidRDefault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0A0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0A077E">
                            <w:pPr>
                              <w:tabs>
                                <w:tab w:val="left" w:pos="426"/>
                              </w:tabs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South Rings employment site – commenced on site </w:t>
                            </w:r>
                          </w:p>
                          <w:p w:rsidR="000A077E" w:rsidRPr="00625B1D" w:rsidRDefault="000A077E" w:rsidP="000A077E">
                            <w:pPr>
                              <w:tabs>
                                <w:tab w:val="left" w:pos="426"/>
                              </w:tabs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Pr="00BC055E" w:rsidRDefault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C055E" w:rsidTr="00625B1D">
                        <w:tc>
                          <w:tcPr>
                            <w:tcW w:w="1124" w:type="dxa"/>
                          </w:tcPr>
                          <w:p w:rsidR="00BC055E" w:rsidRPr="00625B1D" w:rsidRDefault="000A07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5B1D"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:rsidR="00BC055E" w:rsidRPr="00625B1D" w:rsidRDefault="00BC055E" w:rsidP="000A077E">
                            <w:pPr>
                              <w:tabs>
                                <w:tab w:val="left" w:pos="426"/>
                              </w:tabs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>Horrocks</w:t>
                            </w:r>
                            <w:proofErr w:type="spellEnd"/>
                            <w:r w:rsidRPr="00625B1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Development – Phase 2 completed</w:t>
                            </w:r>
                          </w:p>
                          <w:p w:rsidR="00BC055E" w:rsidRPr="00625B1D" w:rsidRDefault="00BC055E" w:rsidP="006C01FF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BC055E" w:rsidRPr="00BC055E" w:rsidRDefault="00BC055E" w:rsidP="006C01FF">
                            <w:pPr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BC055E">
                              <w:rPr>
                                <w:rFonts w:cs="Arial"/>
                                <w:noProof/>
                                <w:sz w:val="18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1450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C055E" w:rsidRPr="00177197" w:rsidRDefault="00BC055E" w:rsidP="00BC055E">
                      <w:pPr>
                        <w:tabs>
                          <w:tab w:val="left" w:pos="426"/>
                        </w:tabs>
                        <w:ind w:left="360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BC055E" w:rsidRPr="00177197" w:rsidRDefault="00BC055E" w:rsidP="00BC055E">
                      <w:pPr>
                        <w:tabs>
                          <w:tab w:val="left" w:pos="426"/>
                        </w:tabs>
                        <w:ind w:left="360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E021E4" w:rsidRDefault="00E021E4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  <w:p w:rsidR="00E021E4" w:rsidRPr="00703B36" w:rsidRDefault="00E021E4">
                      <w:pPr>
                        <w:rPr>
                          <w:b/>
                          <w:color w:val="5B9BD5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05746D" wp14:editId="0A503F36">
                <wp:simplePos x="0" y="0"/>
                <wp:positionH relativeFrom="column">
                  <wp:posOffset>-219710</wp:posOffset>
                </wp:positionH>
                <wp:positionV relativeFrom="paragraph">
                  <wp:posOffset>4619626</wp:posOffset>
                </wp:positionV>
                <wp:extent cx="5248275" cy="56388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638800"/>
                        </a:xfrm>
                        <a:prstGeom prst="roundRect">
                          <a:avLst>
                            <a:gd name="adj" fmla="val 9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570" w:rsidRDefault="00042D80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 xml:space="preserve">Fig 2: Housing </w:t>
                            </w:r>
                            <w:r w:rsidR="00EA651F">
                              <w:rPr>
                                <w:b/>
                                <w:color w:val="5B9BD5" w:themeColor="accent1"/>
                              </w:rPr>
                              <w:t xml:space="preserve">and employment </w:t>
                            </w: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 xml:space="preserve">sites – </w:t>
                            </w:r>
                            <w:r w:rsidR="00625B1D">
                              <w:rPr>
                                <w:b/>
                                <w:color w:val="5B9BD5" w:themeColor="accent1"/>
                              </w:rPr>
                              <w:t>sites identified as amber or red (</w:t>
                            </w:r>
                            <w:r w:rsidRPr="00042D80">
                              <w:rPr>
                                <w:b/>
                                <w:color w:val="5B9BD5" w:themeColor="accent1"/>
                              </w:rPr>
                              <w:t>issues and responses</w:t>
                            </w:r>
                            <w:r w:rsidR="00625B1D">
                              <w:rPr>
                                <w:b/>
                                <w:color w:val="5B9BD5" w:themeColor="accent1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482"/>
                            </w:tblGrid>
                            <w:tr w:rsidR="00EA651F" w:rsidTr="00EA651F">
                              <w:tc>
                                <w:tcPr>
                                  <w:tcW w:w="421" w:type="dxa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Default="00AD20F5" w:rsidP="00EA65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Site details and i</w:t>
                                  </w:r>
                                  <w:r w:rsidR="00EA651F" w:rsidRPr="004A458F">
                                    <w:rPr>
                                      <w:b/>
                                    </w:rPr>
                                    <w:t>ssue</w:t>
                                  </w:r>
                                  <w:r w:rsidR="00EA651F">
                                    <w:rPr>
                                      <w:b/>
                                    </w:rPr>
                                    <w:t>s identified that could affect delivery</w:t>
                                  </w:r>
                                </w:p>
                                <w:p w:rsidR="00AD20F5" w:rsidRDefault="00EA651F" w:rsidP="00625B1D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  <w:r w:rsidRPr="00B3061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Activities underway to mitigate risks and issues.</w:t>
                                  </w:r>
                                </w:p>
                              </w:tc>
                            </w:tr>
                            <w:tr w:rsidR="00625B1D" w:rsidTr="00625B1D">
                              <w:tc>
                                <w:tcPr>
                                  <w:tcW w:w="421" w:type="dxa"/>
                                  <w:shd w:val="clear" w:color="auto" w:fill="E7E6E6" w:themeFill="background2"/>
                                </w:tcPr>
                                <w:p w:rsidR="00625B1D" w:rsidRDefault="00625B1D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  <w:shd w:val="clear" w:color="auto" w:fill="E7E6E6" w:themeFill="background2"/>
                                </w:tcPr>
                                <w:p w:rsidR="00625B1D" w:rsidRDefault="00625B1D" w:rsidP="00EA65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Housing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  <w:proofErr w:type="spellStart"/>
                                  <w:r w:rsidRPr="00DC6F6A"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Pickerings</w:t>
                                  </w:r>
                                  <w:proofErr w:type="spellEnd"/>
                                  <w:r w:rsidRPr="00DC6F6A"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Farm</w:t>
                                  </w:r>
                                  <w:r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D20F5"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(1200 units</w:t>
                                  </w:r>
                                  <w:r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Style w:val="Style3"/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DF79E7">
                                    <w:rPr>
                                      <w:rStyle w:val="Style3"/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This site remains in the pre-application stage.    Although progressing slower than expected start on site is still proposed in year 7-2020/21.  </w:t>
                                  </w:r>
                                  <w:r w:rsidRPr="00DF79E7">
                                    <w:rPr>
                                      <w:rStyle w:val="Style3"/>
                                      <w:rFonts w:asciiTheme="minorHAnsi" w:hAnsiTheme="minorHAnsi"/>
                                      <w:color w:val="FF0000"/>
                                      <w:sz w:val="18"/>
                                      <w:szCs w:val="18"/>
                                    </w:rPr>
                                    <w:t>A site steering group in place for this site to facilitate delivery.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Pr="00DC6F6A" w:rsidRDefault="00EA651F" w:rsidP="00151796">
                                  <w:pPr>
                                    <w:rPr>
                                      <w:rStyle w:val="Style3"/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Vernon </w:t>
                                  </w:r>
                                  <w:proofErr w:type="spellStart"/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Carus</w:t>
                                  </w:r>
                                  <w:proofErr w:type="spellEnd"/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phases 1/2/3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AD20F5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(385 units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DF79E7">
                                    <w:rPr>
                                      <w:sz w:val="18"/>
                                      <w:szCs w:val="18"/>
                                    </w:rPr>
                                    <w:t>Bovis</w:t>
                                  </w:r>
                                  <w:proofErr w:type="spellEnd"/>
                                  <w:r w:rsidRPr="00DF79E7">
                                    <w:rPr>
                                      <w:sz w:val="18"/>
                                      <w:szCs w:val="18"/>
                                    </w:rPr>
                                    <w:t xml:space="preserve"> is actively marketing this site </w:t>
                                  </w:r>
                                  <w:r w:rsidR="00031049">
                                    <w:rPr>
                                      <w:sz w:val="18"/>
                                      <w:szCs w:val="18"/>
                                    </w:rPr>
                                    <w:t xml:space="preserve">therefore </w:t>
                                  </w:r>
                                  <w:r w:rsidRPr="00DF79E7">
                                    <w:rPr>
                                      <w:sz w:val="18"/>
                                      <w:szCs w:val="18"/>
                                    </w:rPr>
                                    <w:t>it is unlikely that discharge of permissions will take place in next 6 months as originally anticipated.  Build is currently profiled to commence in year 5 2018/19.  Site unlikely to deliver as anticipated.</w:t>
                                  </w:r>
                                </w:p>
                              </w:tc>
                            </w:tr>
                            <w:tr w:rsidR="00625B1D" w:rsidTr="00625B1D">
                              <w:tc>
                                <w:tcPr>
                                  <w:tcW w:w="421" w:type="dxa"/>
                                  <w:shd w:val="clear" w:color="auto" w:fill="E7E6E6" w:themeFill="background2"/>
                                </w:tcPr>
                                <w:p w:rsidR="00625B1D" w:rsidRDefault="00625B1D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  <w:shd w:val="clear" w:color="auto" w:fill="E7E6E6" w:themeFill="background2"/>
                                </w:tcPr>
                                <w:p w:rsidR="00625B1D" w:rsidRPr="00DC6F6A" w:rsidRDefault="00625B1D" w:rsidP="0015179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Mixed use – housing and employment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Pr="00DC6F6A" w:rsidRDefault="00EA651F" w:rsidP="0003104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Whittingham Hospital (Ph2/3) 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(5</w:t>
                                  </w:r>
                                  <w:r w:rsidR="00AD20F5" w:rsidRPr="00AD20F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units + retail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DF79E7">
                                    <w:rPr>
                                      <w:sz w:val="18"/>
                                      <w:szCs w:val="18"/>
                                    </w:rPr>
                                    <w:t xml:space="preserve">Viability concerns around this site.  A new planning application is expected. Will affect agreed s106. </w:t>
                                  </w:r>
                                  <w:r w:rsidRPr="00DF79E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LCC and PCC continue to work closely with HCA to </w:t>
                                  </w:r>
                                  <w:r w:rsidR="00031049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progress matters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Pr="00DC6F6A" w:rsidRDefault="00EA651F" w:rsidP="00031049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Various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small </w:t>
                                  </w:r>
                                  <w:r w:rsidRPr="00DC6F6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sites: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31049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total 209 units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="00AD20F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 number of smaller sites are not progressing as quickly as anticipated due to a variety of reason.  Site constraints, no live planning permission or </w:t>
                                  </w:r>
                                  <w:r w:rsidR="000B76E4">
                                    <w:rPr>
                                      <w:sz w:val="18"/>
                                      <w:szCs w:val="18"/>
                                    </w:rPr>
                                    <w:t>non-receipt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of application.  These sites continue to be monitored by planning officers and sites may </w:t>
                                  </w:r>
                                  <w:r w:rsidR="00031049">
                                    <w:rPr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to be re-profiled if they do not progress.</w:t>
                                  </w:r>
                                  <w:r w:rsidRPr="00DF79E7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625B1D" w:rsidTr="00625B1D">
                              <w:tc>
                                <w:tcPr>
                                  <w:tcW w:w="421" w:type="dxa"/>
                                  <w:shd w:val="clear" w:color="auto" w:fill="E7E6E6" w:themeFill="background2"/>
                                </w:tcPr>
                                <w:p w:rsidR="00625B1D" w:rsidRDefault="00625B1D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  <w:shd w:val="clear" w:color="auto" w:fill="E7E6E6" w:themeFill="background2"/>
                                </w:tcPr>
                                <w:p w:rsidR="00625B1D" w:rsidRPr="00DC6F6A" w:rsidRDefault="00625B1D" w:rsidP="0015179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Employment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151796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Default="00EA651F" w:rsidP="00EA651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Cottam Hall Supermarket (Brickworks site)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(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6105sq m)</w:t>
                                  </w: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A651F" w:rsidRDefault="00EA651F" w:rsidP="00EA651F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Cottam Hall A3/A4/A5</w:t>
                                  </w:r>
                                  <w:r w:rsidRPr="00B17E12">
                                    <w:rPr>
                                      <w:sz w:val="18"/>
                                      <w:szCs w:val="20"/>
                                    </w:rPr>
                                    <w:t xml:space="preserve"> (District Centre)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(1380sq m)</w:t>
                                  </w: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EA651F" w:rsidRPr="00AD20F5" w:rsidRDefault="00EA651F" w:rsidP="00EA651F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</w:pP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Cottam Hall</w:t>
                                  </w:r>
                                  <w:r w:rsidRPr="00006603">
                                    <w:rPr>
                                      <w:sz w:val="18"/>
                                      <w:szCs w:val="20"/>
                                    </w:rPr>
                                    <w:t xml:space="preserve"> - D1/D2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(2052sq m)</w:t>
                                  </w:r>
                                </w:p>
                                <w:p w:rsidR="00EA651F" w:rsidRPr="008A672A" w:rsidRDefault="00EA651F" w:rsidP="00EA651F">
                                  <w:pP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8A672A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The site has planning consent, but works haven't commenced on site.  All milestones for Cottam Brickworks Phase 1 have been pushed back by around 21 months.</w:t>
                                  </w:r>
                                </w:p>
                                <w:p w:rsidR="00EA651F" w:rsidRPr="00DC6F6A" w:rsidRDefault="00EA651F" w:rsidP="00EA651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A672A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The project manager is in dialogue with HCA to progress next steps.  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C000" w:themeFill="accent4"/>
                                </w:tcPr>
                                <w:p w:rsidR="00EA651F" w:rsidRDefault="00EA651F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Pr="00DF79E7" w:rsidRDefault="00EA651F" w:rsidP="00AD12C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Bluebell Way</w:t>
                                  </w:r>
                                  <w:r w:rsidRPr="000B71EF">
                                    <w:rPr>
                                      <w:sz w:val="18"/>
                                      <w:szCs w:val="20"/>
                                    </w:rPr>
                                    <w:t xml:space="preserve"> (LCC site)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(5000sq m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) Disposal of this property has been delayed as it was remarketed and HOT are being negotiated with a new party. </w:t>
                                  </w:r>
                                  <w:r w:rsidR="00AD12CC">
                                    <w:rPr>
                                      <w:sz w:val="18"/>
                                      <w:szCs w:val="20"/>
                                    </w:rPr>
                                    <w:t>Construction milestones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AD12CC">
                                    <w:rPr>
                                      <w:sz w:val="18"/>
                                      <w:szCs w:val="20"/>
                                    </w:rPr>
                                    <w:t>unknown at this stage but site remains attractive to the market and end users.</w:t>
                                  </w:r>
                                </w:p>
                              </w:tc>
                            </w:tr>
                            <w:tr w:rsidR="00EA651F" w:rsidTr="00AD20F5">
                              <w:tc>
                                <w:tcPr>
                                  <w:tcW w:w="421" w:type="dxa"/>
                                  <w:shd w:val="clear" w:color="auto" w:fill="FF0000"/>
                                </w:tcPr>
                                <w:p w:rsidR="00EA651F" w:rsidRDefault="00EA651F" w:rsidP="00EA651F">
                                  <w:pPr>
                                    <w:rPr>
                                      <w:b/>
                                      <w:color w:val="5B9BD5" w:themeColor="accen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2" w:type="dxa"/>
                                </w:tcPr>
                                <w:p w:rsidR="00EA651F" w:rsidRDefault="00EA651F" w:rsidP="00EA651F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Winckley</w:t>
                                  </w:r>
                                  <w:proofErr w:type="spellEnd"/>
                                  <w:r w:rsidRPr="006C01FF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Square – Phase 2</w:t>
                                  </w:r>
                                  <w:r w:rsidRPr="000B71EF">
                                    <w:rPr>
                                      <w:sz w:val="18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B71EF">
                                    <w:rPr>
                                      <w:sz w:val="18"/>
                                      <w:szCs w:val="20"/>
                                    </w:rPr>
                                    <w:t>Winckley</w:t>
                                  </w:r>
                                  <w:proofErr w:type="spellEnd"/>
                                  <w:r w:rsidRPr="000B71EF">
                                    <w:rPr>
                                      <w:sz w:val="18"/>
                                      <w:szCs w:val="20"/>
                                    </w:rPr>
                                    <w:t xml:space="preserve"> Square)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>sq</w:t>
                                  </w:r>
                                  <w:proofErr w:type="spellEnd"/>
                                  <w:r w:rsidRPr="00AD20F5">
                                    <w:rPr>
                                      <w:b/>
                                      <w:i/>
                                      <w:sz w:val="18"/>
                                      <w:szCs w:val="20"/>
                                    </w:rPr>
                                    <w:t xml:space="preserve"> m tbc)</w:t>
                                  </w:r>
                                </w:p>
                                <w:p w:rsidR="00EA651F" w:rsidRPr="00DF79E7" w:rsidRDefault="00EA651F" w:rsidP="00EA65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Milestones related to College House, essential repairs have been undertaken but </w:t>
                                  </w:r>
                                  <w:r w:rsidR="00AD12CC">
                                    <w:rPr>
                                      <w:sz w:val="18"/>
                                      <w:szCs w:val="20"/>
                                    </w:rPr>
                                    <w:t xml:space="preserve">there is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 known developer engagement.</w:t>
                                  </w:r>
                                </w:p>
                              </w:tc>
                            </w:tr>
                          </w:tbl>
                          <w:p w:rsidR="00625B1D" w:rsidRDefault="00F97570" w:rsidP="001517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5B1D">
                              <w:rPr>
                                <w:sz w:val="16"/>
                                <w:szCs w:val="16"/>
                              </w:rPr>
                              <w:t xml:space="preserve">The Development sites delivery group </w:t>
                            </w:r>
                            <w:r w:rsidR="00381C7D" w:rsidRPr="00625B1D">
                              <w:rPr>
                                <w:sz w:val="16"/>
                                <w:szCs w:val="16"/>
                              </w:rPr>
                              <w:t xml:space="preserve">(DSDG) </w:t>
                            </w:r>
                            <w:r w:rsidRPr="00625B1D">
                              <w:rPr>
                                <w:sz w:val="16"/>
                                <w:szCs w:val="16"/>
                              </w:rPr>
                              <w:t xml:space="preserve">continue to </w:t>
                            </w:r>
                            <w:r w:rsidR="00381C7D" w:rsidRPr="00625B1D">
                              <w:rPr>
                                <w:sz w:val="16"/>
                                <w:szCs w:val="16"/>
                              </w:rPr>
                              <w:t xml:space="preserve">monitor risks that are significant to </w:t>
                            </w:r>
                            <w:r w:rsidR="00461320" w:rsidRPr="00625B1D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381C7D" w:rsidRPr="00625B1D">
                              <w:rPr>
                                <w:sz w:val="16"/>
                                <w:szCs w:val="16"/>
                              </w:rPr>
                              <w:t xml:space="preserve">ity Deal </w:t>
                            </w:r>
                            <w:r w:rsidRPr="00625B1D"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381C7D" w:rsidRPr="00625B1D">
                              <w:rPr>
                                <w:sz w:val="16"/>
                                <w:szCs w:val="16"/>
                              </w:rPr>
                              <w:t xml:space="preserve">work with partners and developers to </w:t>
                            </w:r>
                            <w:r w:rsidRPr="00625B1D">
                              <w:rPr>
                                <w:sz w:val="16"/>
                                <w:szCs w:val="16"/>
                              </w:rPr>
                              <w:t xml:space="preserve">formulate </w:t>
                            </w:r>
                            <w:r w:rsidR="00381C7D" w:rsidRPr="00625B1D">
                              <w:rPr>
                                <w:sz w:val="16"/>
                                <w:szCs w:val="16"/>
                              </w:rPr>
                              <w:t>appropriate responses.</w:t>
                            </w:r>
                            <w:r w:rsidRPr="00625B1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D20F5" w:rsidRPr="00625B1D" w:rsidRDefault="00031049" w:rsidP="001517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 xml:space="preserve">Small sites </w:t>
                            </w:r>
                            <w:r w:rsidR="00625B1D">
                              <w:rPr>
                                <w:sz w:val="16"/>
                                <w:szCs w:val="16"/>
                              </w:rPr>
                              <w:t xml:space="preserve">(209 units) </w:t>
                            </w:r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>refer to the following: Cottam brickworks, Skeffington Rd/Castleton Rd, Shelley Rd/</w:t>
                            </w:r>
                            <w:proofErr w:type="spellStart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>Wetheral</w:t>
                            </w:r>
                            <w:proofErr w:type="spellEnd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 xml:space="preserve"> St, Ashton Basin, </w:t>
                            </w:r>
                            <w:proofErr w:type="spellStart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>Tulketh</w:t>
                            </w:r>
                            <w:proofErr w:type="spellEnd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 xml:space="preserve"> Brow, Land off School lane, </w:t>
                            </w:r>
                            <w:proofErr w:type="spellStart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>Longton</w:t>
                            </w:r>
                            <w:proofErr w:type="spellEnd"/>
                            <w:r w:rsidR="00AD20F5" w:rsidRPr="00625B1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5746D" id="Rounded Rectangle 3" o:spid="_x0000_s1029" style="position:absolute;margin-left:-17.3pt;margin-top:363.75pt;width:413.25pt;height:44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" fillcolor="window" strokecolor="#5b9bd5" strokeweight="1pt">
                <v:stroke joinstyle="miter"/>
                <v:textbox>
                  <w:txbxContent>
                    <w:p w:rsidR="00F97570" w:rsidRDefault="00042D80" w:rsidP="00151796">
                      <w:pPr>
                        <w:rPr>
                          <w:b/>
                          <w:color w:val="5B9BD5" w:themeColor="accent1"/>
                        </w:rPr>
                      </w:pPr>
                      <w:r w:rsidRPr="00042D80">
                        <w:rPr>
                          <w:b/>
                          <w:color w:val="5B9BD5" w:themeColor="accent1"/>
                        </w:rPr>
                        <w:t xml:space="preserve">Fig 2: Housing </w:t>
                      </w:r>
                      <w:r w:rsidR="00EA651F">
                        <w:rPr>
                          <w:b/>
                          <w:color w:val="5B9BD5" w:themeColor="accent1"/>
                        </w:rPr>
                        <w:t xml:space="preserve">and employment </w:t>
                      </w:r>
                      <w:r w:rsidRPr="00042D80">
                        <w:rPr>
                          <w:b/>
                          <w:color w:val="5B9BD5" w:themeColor="accent1"/>
                        </w:rPr>
                        <w:t xml:space="preserve">sites – </w:t>
                      </w:r>
                      <w:r w:rsidR="00625B1D">
                        <w:rPr>
                          <w:b/>
                          <w:color w:val="5B9BD5" w:themeColor="accent1"/>
                        </w:rPr>
                        <w:t>sites identified as amber or red (</w:t>
                      </w:r>
                      <w:r w:rsidRPr="00042D80">
                        <w:rPr>
                          <w:b/>
                          <w:color w:val="5B9BD5" w:themeColor="accent1"/>
                        </w:rPr>
                        <w:t>issues and responses</w:t>
                      </w:r>
                      <w:r w:rsidR="00625B1D">
                        <w:rPr>
                          <w:b/>
                          <w:color w:val="5B9BD5" w:themeColor="accent1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482"/>
                      </w:tblGrid>
                      <w:tr w:rsidR="00EA651F" w:rsidTr="00EA651F">
                        <w:tc>
                          <w:tcPr>
                            <w:tcW w:w="421" w:type="dxa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Default="00AD20F5" w:rsidP="00EA65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Site details and i</w:t>
                            </w:r>
                            <w:r w:rsidR="00EA651F" w:rsidRPr="004A458F">
                              <w:rPr>
                                <w:b/>
                              </w:rPr>
                              <w:t>ssue</w:t>
                            </w:r>
                            <w:r w:rsidR="00EA651F">
                              <w:rPr>
                                <w:b/>
                              </w:rPr>
                              <w:t>s identified that could affect delivery</w:t>
                            </w:r>
                          </w:p>
                          <w:p w:rsidR="00AD20F5" w:rsidRDefault="00EA651F" w:rsidP="00625B1D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B30611">
                              <w:rPr>
                                <w:color w:val="FF0000"/>
                                <w:sz w:val="20"/>
                                <w:szCs w:val="20"/>
                              </w:rPr>
                              <w:t>Activities underway to mitigate risks and issues.</w:t>
                            </w:r>
                          </w:p>
                        </w:tc>
                      </w:tr>
                      <w:tr w:rsidR="00625B1D" w:rsidTr="00625B1D">
                        <w:tc>
                          <w:tcPr>
                            <w:tcW w:w="421" w:type="dxa"/>
                            <w:shd w:val="clear" w:color="auto" w:fill="E7E6E6" w:themeFill="background2"/>
                          </w:tcPr>
                          <w:p w:rsidR="00625B1D" w:rsidRDefault="00625B1D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  <w:shd w:val="clear" w:color="auto" w:fill="E7E6E6" w:themeFill="background2"/>
                          </w:tcPr>
                          <w:p w:rsidR="00625B1D" w:rsidRDefault="00625B1D" w:rsidP="00EA65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  <w:proofErr w:type="spellStart"/>
                            <w:r w:rsidRPr="00DC6F6A">
                              <w:rPr>
                                <w:rStyle w:val="Style3"/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Pickerings</w:t>
                            </w:r>
                            <w:proofErr w:type="spellEnd"/>
                            <w:r w:rsidRPr="00DC6F6A">
                              <w:rPr>
                                <w:rStyle w:val="Style3"/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Farm</w:t>
                            </w:r>
                            <w:r>
                              <w:rPr>
                                <w:rStyle w:val="Style3"/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20F5">
                              <w:rPr>
                                <w:rStyle w:val="Style3"/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(1200 units</w:t>
                            </w:r>
                            <w:r>
                              <w:rPr>
                                <w:rStyle w:val="Style3"/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Style w:val="Style3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F79E7">
                              <w:rPr>
                                <w:rStyle w:val="Style3"/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This site remains in the pre-application stage.    Although progressing slower than expected start on site is still proposed in year 7-2020/21.  </w:t>
                            </w:r>
                            <w:r w:rsidRPr="00DF79E7">
                              <w:rPr>
                                <w:rStyle w:val="Style3"/>
                                <w:rFonts w:asciiTheme="minorHAnsi" w:hAnsiTheme="minorHAnsi"/>
                                <w:color w:val="FF0000"/>
                                <w:sz w:val="18"/>
                                <w:szCs w:val="18"/>
                              </w:rPr>
                              <w:t>A site steering group in place for this site to facilitate delivery.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Pr="00DC6F6A" w:rsidRDefault="00EA651F" w:rsidP="00151796">
                            <w:pPr>
                              <w:rPr>
                                <w:rStyle w:val="Style3"/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Vernon </w:t>
                            </w:r>
                            <w:proofErr w:type="spellStart"/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>Carus</w:t>
                            </w:r>
                            <w:proofErr w:type="spellEnd"/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phases 1/2/3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D20F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(385 units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DF79E7">
                              <w:rPr>
                                <w:sz w:val="18"/>
                                <w:szCs w:val="18"/>
                              </w:rPr>
                              <w:t>Bovis</w:t>
                            </w:r>
                            <w:proofErr w:type="spellEnd"/>
                            <w:r w:rsidRPr="00DF79E7">
                              <w:rPr>
                                <w:sz w:val="18"/>
                                <w:szCs w:val="18"/>
                              </w:rPr>
                              <w:t xml:space="preserve"> is actively marketing this site </w:t>
                            </w:r>
                            <w:r w:rsidR="00031049">
                              <w:rPr>
                                <w:sz w:val="18"/>
                                <w:szCs w:val="18"/>
                              </w:rPr>
                              <w:t xml:space="preserve">therefore </w:t>
                            </w:r>
                            <w:r w:rsidRPr="00DF79E7">
                              <w:rPr>
                                <w:sz w:val="18"/>
                                <w:szCs w:val="18"/>
                              </w:rPr>
                              <w:t>it is unlikely that discharge of permissions will take place in next 6 months as originally anticipated.  Build is currently profiled to commence in year 5 2018/19.  Site unlikely to deliver as anticipated.</w:t>
                            </w:r>
                          </w:p>
                        </w:tc>
                      </w:tr>
                      <w:tr w:rsidR="00625B1D" w:rsidTr="00625B1D">
                        <w:tc>
                          <w:tcPr>
                            <w:tcW w:w="421" w:type="dxa"/>
                            <w:shd w:val="clear" w:color="auto" w:fill="E7E6E6" w:themeFill="background2"/>
                          </w:tcPr>
                          <w:p w:rsidR="00625B1D" w:rsidRDefault="00625B1D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  <w:shd w:val="clear" w:color="auto" w:fill="E7E6E6" w:themeFill="background2"/>
                          </w:tcPr>
                          <w:p w:rsidR="00625B1D" w:rsidRPr="00DC6F6A" w:rsidRDefault="00625B1D" w:rsidP="001517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Mixed use – housing and employment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Pr="00DC6F6A" w:rsidRDefault="00EA651F" w:rsidP="000310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Whittingham Hospital (Ph2/3) 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(5</w:t>
                            </w:r>
                            <w:r w:rsidR="00AD20F5" w:rsidRPr="00AD20F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00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units + retail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DF79E7">
                              <w:rPr>
                                <w:sz w:val="18"/>
                                <w:szCs w:val="18"/>
                              </w:rPr>
                              <w:t xml:space="preserve">Viability concerns around this site.  A new planning application is expected. Will affect agreed s106. </w:t>
                            </w:r>
                            <w:r w:rsidRPr="00DF79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LCC and PCC continue to work closely with HCA to </w:t>
                            </w:r>
                            <w:r w:rsidR="00031049">
                              <w:rPr>
                                <w:color w:val="FF0000"/>
                                <w:sz w:val="18"/>
                                <w:szCs w:val="18"/>
                              </w:rPr>
                              <w:t>progress matters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Pr="00DC6F6A" w:rsidRDefault="00EA651F" w:rsidP="000310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Various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small </w:t>
                            </w:r>
                            <w:r w:rsidRPr="00DC6F6A">
                              <w:rPr>
                                <w:b/>
                                <w:sz w:val="18"/>
                                <w:szCs w:val="18"/>
                              </w:rPr>
                              <w:t>sites: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1049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total 209 units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AD20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number of smaller sites are not progressing as quickly as anticipated due to a variety of reason.  Site constraints, no live planning permission or </w:t>
                            </w:r>
                            <w:r w:rsidR="000B76E4">
                              <w:rPr>
                                <w:sz w:val="18"/>
                                <w:szCs w:val="18"/>
                              </w:rPr>
                              <w:t>non-receipt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of application.  These sites continue to be monitored by planning officers and sites may </w:t>
                            </w:r>
                            <w:r w:rsidR="00031049">
                              <w:rPr>
                                <w:sz w:val="18"/>
                                <w:szCs w:val="18"/>
                              </w:rPr>
                              <w:t>need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be re-profiled if they do not progress.</w:t>
                            </w:r>
                            <w:r w:rsidRPr="00DF79E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625B1D" w:rsidTr="00625B1D">
                        <w:tc>
                          <w:tcPr>
                            <w:tcW w:w="421" w:type="dxa"/>
                            <w:shd w:val="clear" w:color="auto" w:fill="E7E6E6" w:themeFill="background2"/>
                          </w:tcPr>
                          <w:p w:rsidR="00625B1D" w:rsidRDefault="00625B1D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  <w:shd w:val="clear" w:color="auto" w:fill="E7E6E6" w:themeFill="background2"/>
                          </w:tcPr>
                          <w:p w:rsidR="00625B1D" w:rsidRPr="00DC6F6A" w:rsidRDefault="00625B1D" w:rsidP="001517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Employment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151796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Default="00EA651F" w:rsidP="00EA651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>Cottam Hall Supermarket (Brickworks site)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6105sq m)</w:t>
                            </w: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A651F" w:rsidRDefault="00EA651F" w:rsidP="00EA651F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>Cottam Hall A3/A4/A5</w:t>
                            </w:r>
                            <w:r w:rsidRPr="00B17E12">
                              <w:rPr>
                                <w:sz w:val="18"/>
                                <w:szCs w:val="20"/>
                              </w:rPr>
                              <w:t xml:space="preserve"> (District Centre)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(1380sq m)</w:t>
                            </w: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A651F" w:rsidRPr="00AD20F5" w:rsidRDefault="00EA651F" w:rsidP="00EA651F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>Cottam Hall</w:t>
                            </w:r>
                            <w:r w:rsidRPr="00006603">
                              <w:rPr>
                                <w:sz w:val="18"/>
                                <w:szCs w:val="20"/>
                              </w:rPr>
                              <w:t xml:space="preserve"> - D1/D2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(2052sq m)</w:t>
                            </w:r>
                          </w:p>
                          <w:p w:rsidR="00EA651F" w:rsidRPr="008A672A" w:rsidRDefault="00EA651F" w:rsidP="00EA651F">
                            <w:pPr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8A672A">
                              <w:rPr>
                                <w:rFonts w:cs="Arial"/>
                                <w:sz w:val="18"/>
                                <w:szCs w:val="20"/>
                              </w:rPr>
                              <w:t>The site has planning consent, but works haven't commenced on site.  All milestones for Cottam Brickworks Phase 1 have been pushed back by around 21 months.</w:t>
                            </w:r>
                          </w:p>
                          <w:p w:rsidR="00EA651F" w:rsidRPr="00DC6F6A" w:rsidRDefault="00EA651F" w:rsidP="00EA651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A672A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The project manager is in dialogue with HCA to progress next steps.  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C000" w:themeFill="accent4"/>
                          </w:tcPr>
                          <w:p w:rsidR="00EA651F" w:rsidRDefault="00EA651F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Pr="00DF79E7" w:rsidRDefault="00EA651F" w:rsidP="00AD12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>Bluebell Way</w:t>
                            </w:r>
                            <w:r w:rsidRPr="000B71EF">
                              <w:rPr>
                                <w:sz w:val="18"/>
                                <w:szCs w:val="20"/>
                              </w:rPr>
                              <w:t xml:space="preserve"> (LCC site)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(5000sq m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) Disposal of this property has been delayed as it was remarketed and HOT are being negotiated with a new party. </w:t>
                            </w:r>
                            <w:r w:rsidR="00AD12CC">
                              <w:rPr>
                                <w:sz w:val="18"/>
                                <w:szCs w:val="20"/>
                              </w:rPr>
                              <w:t>Construction milestones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D12CC">
                              <w:rPr>
                                <w:sz w:val="18"/>
                                <w:szCs w:val="20"/>
                              </w:rPr>
                              <w:t>unknown at this stage but site remains attractive to the market and end users.</w:t>
                            </w:r>
                          </w:p>
                        </w:tc>
                      </w:tr>
                      <w:tr w:rsidR="00EA651F" w:rsidTr="00AD20F5">
                        <w:tc>
                          <w:tcPr>
                            <w:tcW w:w="421" w:type="dxa"/>
                            <w:shd w:val="clear" w:color="auto" w:fill="FF0000"/>
                          </w:tcPr>
                          <w:p w:rsidR="00EA651F" w:rsidRDefault="00EA651F" w:rsidP="00EA651F">
                            <w:pPr>
                              <w:rPr>
                                <w:b/>
                                <w:color w:val="5B9BD5" w:themeColor="accent1"/>
                              </w:rPr>
                            </w:pPr>
                          </w:p>
                        </w:tc>
                        <w:tc>
                          <w:tcPr>
                            <w:tcW w:w="7482" w:type="dxa"/>
                          </w:tcPr>
                          <w:p w:rsidR="00EA651F" w:rsidRDefault="00EA651F" w:rsidP="00EA651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>Winckley</w:t>
                            </w:r>
                            <w:proofErr w:type="spellEnd"/>
                            <w:r w:rsidRPr="006C01FF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Square – Phase 2</w:t>
                            </w:r>
                            <w:r w:rsidRPr="000B71EF">
                              <w:rPr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B71EF">
                              <w:rPr>
                                <w:sz w:val="18"/>
                                <w:szCs w:val="20"/>
                              </w:rPr>
                              <w:t>Winckley</w:t>
                            </w:r>
                            <w:proofErr w:type="spellEnd"/>
                            <w:r w:rsidRPr="000B71EF">
                              <w:rPr>
                                <w:sz w:val="18"/>
                                <w:szCs w:val="20"/>
                              </w:rPr>
                              <w:t xml:space="preserve"> Square)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>sq</w:t>
                            </w:r>
                            <w:proofErr w:type="spellEnd"/>
                            <w:r w:rsidRPr="00AD20F5"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m tbc)</w:t>
                            </w:r>
                          </w:p>
                          <w:p w:rsidR="00EA651F" w:rsidRPr="00DF79E7" w:rsidRDefault="00EA651F" w:rsidP="00EA65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Milestones related to College House, essential repairs have been undertaken but </w:t>
                            </w:r>
                            <w:r w:rsidR="00AD12CC">
                              <w:rPr>
                                <w:sz w:val="18"/>
                                <w:szCs w:val="20"/>
                              </w:rPr>
                              <w:t xml:space="preserve">there is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no known developer engagement.</w:t>
                            </w:r>
                          </w:p>
                        </w:tc>
                      </w:tr>
                    </w:tbl>
                    <w:p w:rsidR="00625B1D" w:rsidRDefault="00F97570" w:rsidP="00151796">
                      <w:pPr>
                        <w:rPr>
                          <w:sz w:val="16"/>
                          <w:szCs w:val="16"/>
                        </w:rPr>
                      </w:pPr>
                      <w:r w:rsidRPr="00625B1D">
                        <w:rPr>
                          <w:sz w:val="16"/>
                          <w:szCs w:val="16"/>
                        </w:rPr>
                        <w:t xml:space="preserve">The Development sites delivery group </w:t>
                      </w:r>
                      <w:r w:rsidR="00381C7D" w:rsidRPr="00625B1D">
                        <w:rPr>
                          <w:sz w:val="16"/>
                          <w:szCs w:val="16"/>
                        </w:rPr>
                        <w:t xml:space="preserve">(DSDG) </w:t>
                      </w:r>
                      <w:r w:rsidRPr="00625B1D">
                        <w:rPr>
                          <w:sz w:val="16"/>
                          <w:szCs w:val="16"/>
                        </w:rPr>
                        <w:t xml:space="preserve">continue to </w:t>
                      </w:r>
                      <w:r w:rsidR="00381C7D" w:rsidRPr="00625B1D">
                        <w:rPr>
                          <w:sz w:val="16"/>
                          <w:szCs w:val="16"/>
                        </w:rPr>
                        <w:t xml:space="preserve">monitor risks that are significant to </w:t>
                      </w:r>
                      <w:r w:rsidR="00461320" w:rsidRPr="00625B1D">
                        <w:rPr>
                          <w:sz w:val="16"/>
                          <w:szCs w:val="16"/>
                        </w:rPr>
                        <w:t>C</w:t>
                      </w:r>
                      <w:r w:rsidR="00381C7D" w:rsidRPr="00625B1D">
                        <w:rPr>
                          <w:sz w:val="16"/>
                          <w:szCs w:val="16"/>
                        </w:rPr>
                        <w:t xml:space="preserve">ity Deal </w:t>
                      </w:r>
                      <w:r w:rsidRPr="00625B1D"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381C7D" w:rsidRPr="00625B1D">
                        <w:rPr>
                          <w:sz w:val="16"/>
                          <w:szCs w:val="16"/>
                        </w:rPr>
                        <w:t xml:space="preserve">work with partners and developers to </w:t>
                      </w:r>
                      <w:r w:rsidRPr="00625B1D">
                        <w:rPr>
                          <w:sz w:val="16"/>
                          <w:szCs w:val="16"/>
                        </w:rPr>
                        <w:t xml:space="preserve">formulate </w:t>
                      </w:r>
                      <w:r w:rsidR="00381C7D" w:rsidRPr="00625B1D">
                        <w:rPr>
                          <w:sz w:val="16"/>
                          <w:szCs w:val="16"/>
                        </w:rPr>
                        <w:t>appropriate responses.</w:t>
                      </w:r>
                      <w:r w:rsidRPr="00625B1D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AD20F5" w:rsidRPr="00625B1D" w:rsidRDefault="00031049" w:rsidP="001517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AD20F5" w:rsidRPr="00625B1D">
                        <w:rPr>
                          <w:sz w:val="16"/>
                          <w:szCs w:val="16"/>
                        </w:rPr>
                        <w:t xml:space="preserve">Small sites </w:t>
                      </w:r>
                      <w:r w:rsidR="00625B1D">
                        <w:rPr>
                          <w:sz w:val="16"/>
                          <w:szCs w:val="16"/>
                        </w:rPr>
                        <w:t xml:space="preserve">(209 units) </w:t>
                      </w:r>
                      <w:r w:rsidR="00AD20F5" w:rsidRPr="00625B1D">
                        <w:rPr>
                          <w:sz w:val="16"/>
                          <w:szCs w:val="16"/>
                        </w:rPr>
                        <w:t>refer to the following: Cottam brickworks, Skeffington Rd/Castleton Rd, Shelley Rd/</w:t>
                      </w:r>
                      <w:proofErr w:type="spellStart"/>
                      <w:r w:rsidR="00AD20F5" w:rsidRPr="00625B1D">
                        <w:rPr>
                          <w:sz w:val="16"/>
                          <w:szCs w:val="16"/>
                        </w:rPr>
                        <w:t>Wetheral</w:t>
                      </w:r>
                      <w:proofErr w:type="spellEnd"/>
                      <w:r w:rsidR="00AD20F5" w:rsidRPr="00625B1D">
                        <w:rPr>
                          <w:sz w:val="16"/>
                          <w:szCs w:val="16"/>
                        </w:rPr>
                        <w:t xml:space="preserve"> St, Ashton Basin, </w:t>
                      </w:r>
                      <w:proofErr w:type="spellStart"/>
                      <w:r w:rsidR="00AD20F5" w:rsidRPr="00625B1D">
                        <w:rPr>
                          <w:sz w:val="16"/>
                          <w:szCs w:val="16"/>
                        </w:rPr>
                        <w:t>Tulketh</w:t>
                      </w:r>
                      <w:proofErr w:type="spellEnd"/>
                      <w:r w:rsidR="00AD20F5" w:rsidRPr="00625B1D">
                        <w:rPr>
                          <w:sz w:val="16"/>
                          <w:szCs w:val="16"/>
                        </w:rPr>
                        <w:t xml:space="preserve"> Brow, Land off School lane, </w:t>
                      </w:r>
                      <w:proofErr w:type="spellStart"/>
                      <w:r w:rsidR="00AD20F5" w:rsidRPr="00625B1D">
                        <w:rPr>
                          <w:sz w:val="16"/>
                          <w:szCs w:val="16"/>
                        </w:rPr>
                        <w:t>Longton</w:t>
                      </w:r>
                      <w:proofErr w:type="spellEnd"/>
                      <w:r w:rsidR="00AD20F5" w:rsidRPr="00625B1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51D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2CE188" wp14:editId="4FD4E942">
                <wp:simplePos x="0" y="0"/>
                <wp:positionH relativeFrom="column">
                  <wp:posOffset>-448310</wp:posOffset>
                </wp:positionH>
                <wp:positionV relativeFrom="paragraph">
                  <wp:posOffset>76200</wp:posOffset>
                </wp:positionV>
                <wp:extent cx="14794230" cy="10309225"/>
                <wp:effectExtent l="19050" t="19050" r="26670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4230" cy="10309225"/>
                        </a:xfrm>
                        <a:prstGeom prst="roundRect">
                          <a:avLst>
                            <a:gd name="adj" fmla="val 103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2C158" id="Rounded Rectangle 1" o:spid="_x0000_s1026" style="position:absolute;margin-left:-35.3pt;margin-top:6pt;width:1164.9pt;height:81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" fillcolor="#deeaf6 [660]" strokecolor="#1f4d78 [1604]" strokeweight="2.5pt">
                <v:stroke joinstyle="miter"/>
              </v:roundrect>
            </w:pict>
          </mc:Fallback>
        </mc:AlternateContent>
      </w:r>
      <w:r w:rsidR="00F66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5B059F" wp14:editId="36F38472">
                <wp:simplePos x="0" y="0"/>
                <wp:positionH relativeFrom="column">
                  <wp:posOffset>-219710</wp:posOffset>
                </wp:positionH>
                <wp:positionV relativeFrom="paragraph">
                  <wp:posOffset>695326</wp:posOffset>
                </wp:positionV>
                <wp:extent cx="5562600" cy="37147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714750"/>
                        </a:xfrm>
                        <a:prstGeom prst="roundRect">
                          <a:avLst>
                            <a:gd name="adj" fmla="val 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12D8" w:rsidRDefault="00042D80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r>
                              <w:rPr>
                                <w:b/>
                                <w:color w:val="0099CC"/>
                              </w:rPr>
                              <w:t>Fig. 1 - Housing delivery progress up to Sept 2017</w:t>
                            </w:r>
                          </w:p>
                          <w:tbl>
                            <w:tblPr>
                              <w:tblStyle w:val="TableGrid"/>
                              <w:tblW w:w="83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5"/>
                              <w:gridCol w:w="222"/>
                              <w:gridCol w:w="3628"/>
                            </w:tblGrid>
                            <w:tr w:rsidR="005E0D0D" w:rsidTr="004A4837">
                              <w:tc>
                                <w:tcPr>
                                  <w:tcW w:w="4506" w:type="dxa"/>
                                </w:tcPr>
                                <w:p w:rsidR="005E0D0D" w:rsidRDefault="00517396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  <w:r>
                                    <w:object w:dxaOrig="5805" w:dyaOrig="58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3in;height:219.45pt" o:ole="">
                                        <v:imagedata r:id="rId10" o:title=""/>
                                      </v:shape>
                                      <o:OLEObject Type="Embed" ProgID="PBrush" ShapeID="_x0000_i1026" DrawAspect="Content" ObjectID="_1572776952" r:id="rId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5E0D0D" w:rsidRDefault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tbl>
                                  <w:tblPr>
                                    <w:tblStyle w:val="TableGrid"/>
                                    <w:tblW w:w="34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2827"/>
                                  </w:tblGrid>
                                  <w:tr w:rsidR="00466CF6" w:rsidTr="005E0D0D">
                                    <w:tc>
                                      <w:tcPr>
                                        <w:tcW w:w="885" w:type="dxa"/>
                                        <w:shd w:val="clear" w:color="auto" w:fill="C5E0B3" w:themeFill="accent6" w:themeFillTint="66"/>
                                      </w:tcPr>
                                      <w:p w:rsidR="005E0D0D" w:rsidRDefault="005E0D0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55" w:type="dxa"/>
                                      </w:tcPr>
                                      <w:p w:rsidR="005E0D0D" w:rsidRPr="006B523E" w:rsidRDefault="00466CF6" w:rsidP="00466CF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No. of units where 'd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elivery </w:t>
                                        </w: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is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on 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target</w:t>
                                        </w: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'</w:t>
                                        </w:r>
                                        <w:r w:rsidR="00D856C6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. Either on site or planning is progressing as anticipated.</w:t>
                                        </w:r>
                                      </w:p>
                                      <w:p w:rsidR="00466CF6" w:rsidRPr="006B523E" w:rsidRDefault="00466CF6" w:rsidP="00466CF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6CF6" w:rsidTr="005E0D0D">
                                    <w:tc>
                                      <w:tcPr>
                                        <w:tcW w:w="885" w:type="dxa"/>
                                        <w:shd w:val="clear" w:color="auto" w:fill="FFD966" w:themeFill="accent4" w:themeFillTint="99"/>
                                      </w:tcPr>
                                      <w:p w:rsidR="005E0D0D" w:rsidRDefault="005E0D0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55" w:type="dxa"/>
                                      </w:tcPr>
                                      <w:p w:rsidR="005E0D0D" w:rsidRDefault="00466CF6" w:rsidP="00466CF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No. of units on sites where 'i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ssues </w:t>
                                        </w: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have been 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identified or progress slower than expected</w:t>
                                        </w:r>
                                        <w:r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'</w:t>
                                        </w:r>
                                      </w:p>
                                      <w:p w:rsidR="00F6649D" w:rsidRPr="006B523E" w:rsidRDefault="00F6649D" w:rsidP="00466CF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*see table below</w:t>
                                        </w:r>
                                      </w:p>
                                    </w:tc>
                                  </w:tr>
                                  <w:tr w:rsidR="00466CF6" w:rsidTr="005E0D0D">
                                    <w:tc>
                                      <w:tcPr>
                                        <w:tcW w:w="885" w:type="dxa"/>
                                        <w:shd w:val="clear" w:color="auto" w:fill="D9D9D9" w:themeFill="background1" w:themeFillShade="D9"/>
                                      </w:tcPr>
                                      <w:p w:rsidR="005E0D0D" w:rsidRDefault="005E0D0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  <w:p w:rsidR="00F6649D" w:rsidRDefault="00F6649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  <w:p w:rsidR="00F6649D" w:rsidRDefault="00F6649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55" w:type="dxa"/>
                                      </w:tcPr>
                                      <w:p w:rsidR="005E0D0D" w:rsidRPr="006B523E" w:rsidRDefault="00837890" w:rsidP="007960CE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Units with </w:t>
                                        </w:r>
                                        <w:r w:rsidR="00466CF6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n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o milestones in current </w:t>
                                        </w:r>
                                        <w:r w:rsidR="007960C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year.  No issues identified.</w:t>
                                        </w:r>
                                      </w:p>
                                    </w:tc>
                                  </w:tr>
                                  <w:tr w:rsidR="00466CF6" w:rsidTr="005E0D0D">
                                    <w:tc>
                                      <w:tcPr>
                                        <w:tcW w:w="885" w:type="dxa"/>
                                        <w:shd w:val="clear" w:color="auto" w:fill="4472C4" w:themeFill="accent5"/>
                                      </w:tcPr>
                                      <w:p w:rsidR="005E0D0D" w:rsidRDefault="005E0D0D" w:rsidP="000F648E">
                                        <w:pPr>
                                          <w:jc w:val="both"/>
                                          <w:rPr>
                                            <w:b/>
                                            <w:color w:val="0099CC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55" w:type="dxa"/>
                                      </w:tcPr>
                                      <w:p w:rsidR="00B75120" w:rsidRDefault="00837890" w:rsidP="00F6649D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Total number </w:t>
                                        </w:r>
                                        <w:r w:rsidR="00466CF6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of units </w:t>
                                        </w:r>
                                        <w:r w:rsidR="005E0D0D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complete</w:t>
                                        </w:r>
                                        <w:r w:rsidR="00466CF6" w:rsidRPr="006B523E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>d</w:t>
                                        </w:r>
                                        <w:r w:rsidR="00F6649D"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  <w:t xml:space="preserve"> to date </w:t>
                                        </w:r>
                                      </w:p>
                                      <w:p w:rsidR="00F6649D" w:rsidRDefault="00F6649D" w:rsidP="0051739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C01FF" w:rsidRPr="006B523E" w:rsidRDefault="006C01FF" w:rsidP="00517396">
                                        <w:pPr>
                                          <w:jc w:val="both"/>
                                          <w:rPr>
                                            <w:color w:val="0099CC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6649D" w:rsidRDefault="00F6649D" w:rsidP="005E0D0D"/>
                                <w:p w:rsidR="005E0D0D" w:rsidRPr="00466CF6" w:rsidRDefault="00F6649D" w:rsidP="005E0D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Overall target units= </w:t>
                                  </w:r>
                                  <w:r w:rsidR="005E0D0D" w:rsidRPr="00466CF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17, 484</w:t>
                                  </w:r>
                                  <w:r w:rsidR="005E0D0D" w:rsidRPr="00466CF6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5E0D0D" w:rsidRPr="00466CF6" w:rsidRDefault="005E0D0D" w:rsidP="005E0D0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66CF6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5E0D0D" w:rsidRDefault="005E0D0D" w:rsidP="00837890">
                                  <w:pPr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B36" w:rsidRDefault="00703B36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  <w:p w:rsidR="00837890" w:rsidRPr="00D856C6" w:rsidRDefault="00837890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r w:rsidRPr="00D856C6">
                              <w:rPr>
                                <w:b/>
                                <w:color w:val="0099CC"/>
                              </w:rPr>
                              <w:t xml:space="preserve">Units completed </w:t>
                            </w:r>
                            <w:r w:rsidR="00FE47DD">
                              <w:rPr>
                                <w:b/>
                                <w:color w:val="0099CC"/>
                              </w:rPr>
                              <w:t>between 1 April – 30 Sept 2017</w:t>
                            </w:r>
                            <w:r w:rsidRPr="00D856C6">
                              <w:rPr>
                                <w:b/>
                                <w:color w:val="0099CC"/>
                              </w:rPr>
                              <w:t xml:space="preserve"> = </w:t>
                            </w:r>
                            <w:r w:rsidR="00517396">
                              <w:rPr>
                                <w:b/>
                                <w:color w:val="0099CC"/>
                              </w:rPr>
                              <w:t>434 against a target of 503</w:t>
                            </w:r>
                          </w:p>
                          <w:p w:rsidR="00484C9D" w:rsidRDefault="00484C9D" w:rsidP="000F648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99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B059F" id="Rounded Rectangle 45" o:spid="_x0000_s1030" style="position:absolute;margin-left:-17.3pt;margin-top:54.75pt;width:438pt;height:29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" fillcolor="window" strokecolor="#5b9bd5" strokeweight="1pt">
                <v:stroke joinstyle="miter"/>
                <v:textbox>
                  <w:txbxContent>
                    <w:p w:rsidR="00FB12D8" w:rsidRDefault="00042D80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  <w:r>
                        <w:rPr>
                          <w:b/>
                          <w:color w:val="0099CC"/>
                        </w:rPr>
                        <w:t>Fig. 1 - Housing delivery progress up to Sept 2017</w:t>
                      </w:r>
                    </w:p>
                    <w:tbl>
                      <w:tblPr>
                        <w:tblStyle w:val="TableGrid"/>
                        <w:tblW w:w="8356" w:type="dxa"/>
                        <w:tblLook w:val="04A0" w:firstRow="1" w:lastRow="0" w:firstColumn="1" w:lastColumn="0" w:noHBand="0" w:noVBand="1"/>
                      </w:tblPr>
                      <w:tblGrid>
                        <w:gridCol w:w="4535"/>
                        <w:gridCol w:w="222"/>
                        <w:gridCol w:w="3628"/>
                      </w:tblGrid>
                      <w:tr w:rsidR="005E0D0D" w:rsidTr="004A4837">
                        <w:tc>
                          <w:tcPr>
                            <w:tcW w:w="4506" w:type="dxa"/>
                          </w:tcPr>
                          <w:p w:rsidR="005E0D0D" w:rsidRDefault="00517396" w:rsidP="000F648E">
                            <w:pPr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  <w:r>
                              <w:object w:dxaOrig="5805" w:dyaOrig="5880">
                                <v:shape id="_x0000_i1026" type="#_x0000_t75" style="width:3in;height:219.45pt" o:ole="">
                                  <v:imagedata r:id="rId10" o:title=""/>
                                </v:shape>
                                <o:OLEObject Type="Embed" ProgID="PBrush" ShapeID="_x0000_i1026" DrawAspect="Content" ObjectID="_1572776952" r:id="rId12"/>
                              </w:objec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5E0D0D" w:rsidRDefault="005E0D0D" w:rsidP="000F648E">
                            <w:pPr>
                              <w:jc w:val="both"/>
                              <w:rPr>
                                <w:b/>
                                <w:color w:val="0099CC"/>
                              </w:rPr>
                            </w:pPr>
                          </w:p>
                        </w:tc>
                        <w:tc>
                          <w:tcPr>
                            <w:tcW w:w="3614" w:type="dxa"/>
                          </w:tcPr>
                          <w:tbl>
                            <w:tblPr>
                              <w:tblStyle w:val="TableGrid"/>
                              <w:tblW w:w="34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2827"/>
                            </w:tblGrid>
                            <w:tr w:rsidR="00466CF6" w:rsidTr="005E0D0D">
                              <w:tc>
                                <w:tcPr>
                                  <w:tcW w:w="885" w:type="dxa"/>
                                  <w:shd w:val="clear" w:color="auto" w:fill="C5E0B3" w:themeFill="accent6" w:themeFillTint="66"/>
                                </w:tcPr>
                                <w:p w:rsidR="005E0D0D" w:rsidRDefault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5E0D0D" w:rsidRPr="006B523E" w:rsidRDefault="00466CF6" w:rsidP="00466CF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No. of units where 'd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elivery </w:t>
                                  </w: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on 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  <w:r w:rsidR="00D856C6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. Either on site or planning is progressing as anticipated.</w:t>
                                  </w:r>
                                </w:p>
                                <w:p w:rsidR="00466CF6" w:rsidRPr="006B523E" w:rsidRDefault="00466CF6" w:rsidP="00466CF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66CF6" w:rsidTr="005E0D0D">
                              <w:tc>
                                <w:tcPr>
                                  <w:tcW w:w="885" w:type="dxa"/>
                                  <w:shd w:val="clear" w:color="auto" w:fill="FFD966" w:themeFill="accent4" w:themeFillTint="99"/>
                                </w:tcPr>
                                <w:p w:rsidR="005E0D0D" w:rsidRDefault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5E0D0D" w:rsidRDefault="00466CF6" w:rsidP="00466CF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No. of units on sites where 'i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ssues </w:t>
                                  </w: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have been 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identified or progress slower than expected</w:t>
                                  </w:r>
                                  <w:r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'</w:t>
                                  </w:r>
                                </w:p>
                                <w:p w:rsidR="00F6649D" w:rsidRPr="006B523E" w:rsidRDefault="00F6649D" w:rsidP="00466CF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*see table below</w:t>
                                  </w:r>
                                </w:p>
                              </w:tc>
                            </w:tr>
                            <w:tr w:rsidR="00466CF6" w:rsidTr="005E0D0D">
                              <w:tc>
                                <w:tcPr>
                                  <w:tcW w:w="885" w:type="dxa"/>
                                  <w:shd w:val="clear" w:color="auto" w:fill="D9D9D9" w:themeFill="background1" w:themeFillShade="D9"/>
                                </w:tcPr>
                                <w:p w:rsidR="005E0D0D" w:rsidRDefault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  <w:p w:rsidR="00F6649D" w:rsidRDefault="00F6649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  <w:p w:rsidR="00F6649D" w:rsidRDefault="00F6649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5E0D0D" w:rsidRPr="006B523E" w:rsidRDefault="00837890" w:rsidP="007960CE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Units with </w:t>
                                  </w:r>
                                  <w:r w:rsidR="00466CF6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o milestones in current </w:t>
                                  </w:r>
                                  <w:r w:rsidR="007960C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year.  No issues identified.</w:t>
                                  </w:r>
                                </w:p>
                              </w:tc>
                            </w:tr>
                            <w:tr w:rsidR="00466CF6" w:rsidTr="005E0D0D">
                              <w:tc>
                                <w:tcPr>
                                  <w:tcW w:w="885" w:type="dxa"/>
                                  <w:shd w:val="clear" w:color="auto" w:fill="4472C4" w:themeFill="accent5"/>
                                </w:tcPr>
                                <w:p w:rsidR="005E0D0D" w:rsidRDefault="005E0D0D" w:rsidP="000F648E">
                                  <w:pPr>
                                    <w:jc w:val="both"/>
                                    <w:rPr>
                                      <w:b/>
                                      <w:color w:val="0099C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5" w:type="dxa"/>
                                </w:tcPr>
                                <w:p w:rsidR="00B75120" w:rsidRDefault="00837890" w:rsidP="00F6649D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Total number </w:t>
                                  </w:r>
                                  <w:r w:rsidR="00466CF6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of units </w:t>
                                  </w:r>
                                  <w:r w:rsidR="005E0D0D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complete</w:t>
                                  </w:r>
                                  <w:r w:rsidR="00466CF6" w:rsidRPr="006B523E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F6649D"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  <w:t xml:space="preserve"> to date </w:t>
                                  </w:r>
                                </w:p>
                                <w:p w:rsidR="00F6649D" w:rsidRDefault="00F6649D" w:rsidP="0051739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C01FF" w:rsidRPr="006B523E" w:rsidRDefault="006C01FF" w:rsidP="00517396">
                                  <w:pPr>
                                    <w:jc w:val="both"/>
                                    <w:rPr>
                                      <w:color w:val="0099C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49D" w:rsidRDefault="00F6649D" w:rsidP="005E0D0D"/>
                          <w:p w:rsidR="005E0D0D" w:rsidRPr="00466CF6" w:rsidRDefault="00F6649D" w:rsidP="005E0D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Overall target units= </w:t>
                            </w:r>
                            <w:r w:rsidR="005E0D0D" w:rsidRPr="00466C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17, 484</w:t>
                            </w:r>
                            <w:r w:rsidR="005E0D0D" w:rsidRPr="00466CF6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5E0D0D" w:rsidRPr="00466CF6" w:rsidRDefault="005E0D0D" w:rsidP="005E0D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66CF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E0D0D" w:rsidRDefault="005E0D0D" w:rsidP="00837890">
                            <w:pPr>
                              <w:rPr>
                                <w:b/>
                                <w:color w:val="0099CC"/>
                              </w:rPr>
                            </w:pPr>
                          </w:p>
                        </w:tc>
                      </w:tr>
                    </w:tbl>
                    <w:p w:rsidR="00703B36" w:rsidRDefault="00703B36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</w:p>
                    <w:p w:rsidR="00837890" w:rsidRPr="00D856C6" w:rsidRDefault="00837890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</w:rPr>
                      </w:pPr>
                      <w:r w:rsidRPr="00D856C6">
                        <w:rPr>
                          <w:b/>
                          <w:color w:val="0099CC"/>
                        </w:rPr>
                        <w:t xml:space="preserve">Units completed </w:t>
                      </w:r>
                      <w:r w:rsidR="00FE47DD">
                        <w:rPr>
                          <w:b/>
                          <w:color w:val="0099CC"/>
                        </w:rPr>
                        <w:t>between 1 April – 30 Sept 2017</w:t>
                      </w:r>
                      <w:r w:rsidRPr="00D856C6">
                        <w:rPr>
                          <w:b/>
                          <w:color w:val="0099CC"/>
                        </w:rPr>
                        <w:t xml:space="preserve"> = </w:t>
                      </w:r>
                      <w:r w:rsidR="00517396">
                        <w:rPr>
                          <w:b/>
                          <w:color w:val="0099CC"/>
                        </w:rPr>
                        <w:t>434 against a target of 503</w:t>
                      </w:r>
                    </w:p>
                    <w:p w:rsidR="00484C9D" w:rsidRDefault="00484C9D" w:rsidP="000F648E">
                      <w:pPr>
                        <w:spacing w:after="0" w:line="240" w:lineRule="auto"/>
                        <w:jc w:val="both"/>
                        <w:rPr>
                          <w:b/>
                          <w:color w:val="0099C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5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95A447" wp14:editId="5ECC1155">
                <wp:simplePos x="0" y="0"/>
                <wp:positionH relativeFrom="column">
                  <wp:posOffset>-219710</wp:posOffset>
                </wp:positionH>
                <wp:positionV relativeFrom="paragraph">
                  <wp:posOffset>295275</wp:posOffset>
                </wp:positionV>
                <wp:extent cx="10991850" cy="352425"/>
                <wp:effectExtent l="0" t="0" r="19050" b="2857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0" cy="352425"/>
                        </a:xfrm>
                        <a:prstGeom prst="roundRect">
                          <a:avLst>
                            <a:gd name="adj" fmla="val 170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26E0" w:rsidRPr="00B30611" w:rsidRDefault="006F3F04" w:rsidP="00C37A07">
                            <w:pPr>
                              <w:spacing w:after="12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City Deal </w:t>
                            </w:r>
                            <w:r w:rsidR="00051D61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housing and employment </w:t>
                            </w:r>
                            <w:r w:rsidR="007C155A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site </w:t>
                            </w:r>
                            <w:r w:rsidR="00051D61">
                              <w:rPr>
                                <w:b/>
                                <w:color w:val="0099CC"/>
                                <w:sz w:val="2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erformance </w:t>
                            </w:r>
                            <w:r w:rsidR="007C155A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summary </w:t>
                            </w: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– </w:t>
                            </w:r>
                            <w:r w:rsidR="00BB381C">
                              <w:rPr>
                                <w:b/>
                                <w:color w:val="0099CC"/>
                                <w:sz w:val="28"/>
                              </w:rPr>
                              <w:t>April - Sept</w:t>
                            </w:r>
                            <w:r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2017 </w:t>
                            </w:r>
                            <w:r w:rsidR="00B30611">
                              <w:rPr>
                                <w:b/>
                                <w:color w:val="0099CC"/>
                                <w:sz w:val="28"/>
                              </w:rPr>
                              <w:t xml:space="preserve">                                                                                          </w:t>
                            </w:r>
                            <w:r w:rsidR="00051D61">
                              <w:rPr>
                                <w:color w:val="0099CC"/>
                                <w:sz w:val="28"/>
                              </w:rPr>
                              <w:t xml:space="preserve"> </w:t>
                            </w:r>
                            <w:r w:rsidR="00BB381C" w:rsidRPr="00B30611">
                              <w:rPr>
                                <w:b/>
                                <w:sz w:val="32"/>
                                <w:szCs w:val="32"/>
                              </w:rPr>
                              <w:t>Appendix 2</w:t>
                            </w:r>
                          </w:p>
                          <w:p w:rsidR="001D26E0" w:rsidRDefault="001D26E0" w:rsidP="003D0CAD"/>
                          <w:p w:rsidR="001D26E0" w:rsidRDefault="001D26E0" w:rsidP="003D0CAD"/>
                          <w:p w:rsidR="001D26E0" w:rsidRDefault="001D26E0" w:rsidP="003D0CAD"/>
                          <w:p w:rsidR="001D26E0" w:rsidRPr="00151796" w:rsidRDefault="001D26E0" w:rsidP="003D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5A447" id="Rounded Rectangle 54" o:spid="_x0000_s1031" style="position:absolute;margin-left:-17.3pt;margin-top:23.25pt;width:865.5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" fillcolor="window" strokecolor="#5b9bd5" strokeweight="1pt">
                <v:stroke joinstyle="miter"/>
                <v:textbox>
                  <w:txbxContent>
                    <w:p w:rsidR="001D26E0" w:rsidRPr="00B30611" w:rsidRDefault="006F3F04" w:rsidP="00C37A07">
                      <w:pPr>
                        <w:spacing w:after="12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0099CC"/>
                          <w:sz w:val="28"/>
                        </w:rPr>
                        <w:t xml:space="preserve">City Deal </w:t>
                      </w:r>
                      <w:r w:rsidR="00051D61">
                        <w:rPr>
                          <w:b/>
                          <w:color w:val="0099CC"/>
                          <w:sz w:val="28"/>
                        </w:rPr>
                        <w:t xml:space="preserve">housing and employment </w:t>
                      </w:r>
                      <w:r w:rsidR="007C155A">
                        <w:rPr>
                          <w:b/>
                          <w:color w:val="0099CC"/>
                          <w:sz w:val="28"/>
                        </w:rPr>
                        <w:t xml:space="preserve">site </w:t>
                      </w:r>
                      <w:r w:rsidR="00051D61">
                        <w:rPr>
                          <w:b/>
                          <w:color w:val="0099CC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0099CC"/>
                          <w:sz w:val="28"/>
                        </w:rPr>
                        <w:t xml:space="preserve">erformance </w:t>
                      </w:r>
                      <w:r w:rsidR="007C155A">
                        <w:rPr>
                          <w:b/>
                          <w:color w:val="0099CC"/>
                          <w:sz w:val="28"/>
                        </w:rPr>
                        <w:t xml:space="preserve">summary </w:t>
                      </w:r>
                      <w:r>
                        <w:rPr>
                          <w:b/>
                          <w:color w:val="0099CC"/>
                          <w:sz w:val="28"/>
                        </w:rPr>
                        <w:t xml:space="preserve">– </w:t>
                      </w:r>
                      <w:r w:rsidR="00BB381C">
                        <w:rPr>
                          <w:b/>
                          <w:color w:val="0099CC"/>
                          <w:sz w:val="28"/>
                        </w:rPr>
                        <w:t>April - Sept</w:t>
                      </w:r>
                      <w:r>
                        <w:rPr>
                          <w:b/>
                          <w:color w:val="0099CC"/>
                          <w:sz w:val="28"/>
                        </w:rPr>
                        <w:t xml:space="preserve"> 2017 </w:t>
                      </w:r>
                      <w:r w:rsidR="00B30611">
                        <w:rPr>
                          <w:b/>
                          <w:color w:val="0099CC"/>
                          <w:sz w:val="28"/>
                        </w:rPr>
                        <w:t xml:space="preserve">                                                                                          </w:t>
                      </w:r>
                      <w:r w:rsidR="00051D61">
                        <w:rPr>
                          <w:color w:val="0099CC"/>
                          <w:sz w:val="28"/>
                        </w:rPr>
                        <w:t xml:space="preserve"> </w:t>
                      </w:r>
                      <w:r w:rsidR="00BB381C" w:rsidRPr="00B30611">
                        <w:rPr>
                          <w:b/>
                          <w:sz w:val="32"/>
                          <w:szCs w:val="32"/>
                        </w:rPr>
                        <w:t>Appendix 2</w:t>
                      </w:r>
                    </w:p>
                    <w:p w:rsidR="001D26E0" w:rsidRDefault="001D26E0" w:rsidP="003D0CAD"/>
                    <w:p w:rsidR="001D26E0" w:rsidRDefault="001D26E0" w:rsidP="003D0CAD"/>
                    <w:p w:rsidR="001D26E0" w:rsidRDefault="001D26E0" w:rsidP="003D0CAD"/>
                    <w:bookmarkEnd w:id="1"/>
                    <w:p w:rsidR="001D26E0" w:rsidRPr="00151796" w:rsidRDefault="001D26E0" w:rsidP="003D0CAD"/>
                  </w:txbxContent>
                </v:textbox>
              </v:roundrect>
            </w:pict>
          </mc:Fallback>
        </mc:AlternateContent>
      </w:r>
      <w:r w:rsidR="00960DBC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C9ACC3B" wp14:editId="6999C807">
            <wp:simplePos x="0" y="0"/>
            <wp:positionH relativeFrom="page">
              <wp:posOffset>11569538</wp:posOffset>
            </wp:positionH>
            <wp:positionV relativeFrom="paragraph">
              <wp:posOffset>169545</wp:posOffset>
            </wp:positionV>
            <wp:extent cx="3389793" cy="611000"/>
            <wp:effectExtent l="0" t="0" r="1270" b="0"/>
            <wp:wrapTight wrapText="bothSides">
              <wp:wrapPolygon edited="0">
                <wp:start x="0" y="0"/>
                <wp:lineTo x="0" y="20881"/>
                <wp:lineTo x="21487" y="20881"/>
                <wp:lineTo x="21487" y="0"/>
                <wp:lineTo x="0" y="0"/>
              </wp:wrapPolygon>
            </wp:wrapTight>
            <wp:docPr id="2" name="Picture 2" descr="\\psf\Home\Desktop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f\Home\Desktop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9" b="14773"/>
                    <a:stretch/>
                  </pic:blipFill>
                  <pic:spPr bwMode="auto">
                    <a:xfrm>
                      <a:off x="0" y="0"/>
                      <a:ext cx="3389793" cy="6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12FB" w:rsidRPr="00F55419" w:rsidSect="002C5AC9">
      <w:pgSz w:w="23814" w:h="16839" w:orient="landscape" w:code="8"/>
      <w:pgMar w:top="0" w:right="1021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619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82A"/>
    <w:multiLevelType w:val="hybridMultilevel"/>
    <w:tmpl w:val="59B257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1C4B"/>
    <w:multiLevelType w:val="hybridMultilevel"/>
    <w:tmpl w:val="F7BECDF0"/>
    <w:lvl w:ilvl="0" w:tplc="F796DC38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1F"/>
    <w:multiLevelType w:val="hybridMultilevel"/>
    <w:tmpl w:val="F5CEAAC2"/>
    <w:lvl w:ilvl="0" w:tplc="400446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E651E"/>
    <w:multiLevelType w:val="hybridMultilevel"/>
    <w:tmpl w:val="0DE8E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7538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E7748"/>
    <w:multiLevelType w:val="hybridMultilevel"/>
    <w:tmpl w:val="226CDE7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4DE2"/>
    <w:multiLevelType w:val="hybridMultilevel"/>
    <w:tmpl w:val="4DBCB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C579C"/>
    <w:multiLevelType w:val="hybridMultilevel"/>
    <w:tmpl w:val="A3E865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741D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C55B5"/>
    <w:multiLevelType w:val="hybridMultilevel"/>
    <w:tmpl w:val="A1327E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F62F2"/>
    <w:multiLevelType w:val="hybridMultilevel"/>
    <w:tmpl w:val="57C80F5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DA8634D"/>
    <w:multiLevelType w:val="hybridMultilevel"/>
    <w:tmpl w:val="96B6336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3"/>
    <w:rsid w:val="00031049"/>
    <w:rsid w:val="00040C0F"/>
    <w:rsid w:val="00042D80"/>
    <w:rsid w:val="00045043"/>
    <w:rsid w:val="00051D61"/>
    <w:rsid w:val="000655C8"/>
    <w:rsid w:val="000712B6"/>
    <w:rsid w:val="000A077E"/>
    <w:rsid w:val="000A30D7"/>
    <w:rsid w:val="000B1A72"/>
    <w:rsid w:val="000B76E4"/>
    <w:rsid w:val="000C00B5"/>
    <w:rsid w:val="000C6666"/>
    <w:rsid w:val="000D0BC6"/>
    <w:rsid w:val="000D69D3"/>
    <w:rsid w:val="000E54A3"/>
    <w:rsid w:val="000F1540"/>
    <w:rsid w:val="000F5C6D"/>
    <w:rsid w:val="000F648E"/>
    <w:rsid w:val="0010759A"/>
    <w:rsid w:val="00133F2F"/>
    <w:rsid w:val="00146704"/>
    <w:rsid w:val="00151796"/>
    <w:rsid w:val="00152AD7"/>
    <w:rsid w:val="001957D4"/>
    <w:rsid w:val="001A37D4"/>
    <w:rsid w:val="001B3E3A"/>
    <w:rsid w:val="001D26E0"/>
    <w:rsid w:val="001D35E6"/>
    <w:rsid w:val="001D6E04"/>
    <w:rsid w:val="001E0F8B"/>
    <w:rsid w:val="001F1A8B"/>
    <w:rsid w:val="001F687A"/>
    <w:rsid w:val="00205050"/>
    <w:rsid w:val="002108B7"/>
    <w:rsid w:val="00223760"/>
    <w:rsid w:val="00224E61"/>
    <w:rsid w:val="00272046"/>
    <w:rsid w:val="00273ECE"/>
    <w:rsid w:val="00286A3A"/>
    <w:rsid w:val="002C5AC9"/>
    <w:rsid w:val="002C605B"/>
    <w:rsid w:val="002D2D85"/>
    <w:rsid w:val="002D3EBA"/>
    <w:rsid w:val="002E5C87"/>
    <w:rsid w:val="003051A4"/>
    <w:rsid w:val="00316D23"/>
    <w:rsid w:val="00360E02"/>
    <w:rsid w:val="00371BA3"/>
    <w:rsid w:val="00381C7D"/>
    <w:rsid w:val="00391779"/>
    <w:rsid w:val="003A1848"/>
    <w:rsid w:val="003B4ADA"/>
    <w:rsid w:val="003D0CAD"/>
    <w:rsid w:val="003D2758"/>
    <w:rsid w:val="003D7411"/>
    <w:rsid w:val="003D770A"/>
    <w:rsid w:val="003F7D72"/>
    <w:rsid w:val="00411921"/>
    <w:rsid w:val="0042113F"/>
    <w:rsid w:val="00421AFC"/>
    <w:rsid w:val="0044646E"/>
    <w:rsid w:val="00461320"/>
    <w:rsid w:val="004644EC"/>
    <w:rsid w:val="00466CF6"/>
    <w:rsid w:val="00484C9D"/>
    <w:rsid w:val="004A4837"/>
    <w:rsid w:val="004C7311"/>
    <w:rsid w:val="004D5945"/>
    <w:rsid w:val="0051075E"/>
    <w:rsid w:val="00517396"/>
    <w:rsid w:val="00540D50"/>
    <w:rsid w:val="00541C80"/>
    <w:rsid w:val="005602BA"/>
    <w:rsid w:val="005914C7"/>
    <w:rsid w:val="005C3ABC"/>
    <w:rsid w:val="005C3F6F"/>
    <w:rsid w:val="005C7BC3"/>
    <w:rsid w:val="005E0D0D"/>
    <w:rsid w:val="005F2F7C"/>
    <w:rsid w:val="00603471"/>
    <w:rsid w:val="006212FB"/>
    <w:rsid w:val="00625B1D"/>
    <w:rsid w:val="00627913"/>
    <w:rsid w:val="0063219E"/>
    <w:rsid w:val="00632FA2"/>
    <w:rsid w:val="00650042"/>
    <w:rsid w:val="006517C0"/>
    <w:rsid w:val="00662387"/>
    <w:rsid w:val="006656B0"/>
    <w:rsid w:val="00691D20"/>
    <w:rsid w:val="006A7961"/>
    <w:rsid w:val="006B523E"/>
    <w:rsid w:val="006C01FF"/>
    <w:rsid w:val="006C6C9C"/>
    <w:rsid w:val="006D71F0"/>
    <w:rsid w:val="006E0F5A"/>
    <w:rsid w:val="006F3F04"/>
    <w:rsid w:val="00703B36"/>
    <w:rsid w:val="00720040"/>
    <w:rsid w:val="00774A12"/>
    <w:rsid w:val="00777EAD"/>
    <w:rsid w:val="00791C84"/>
    <w:rsid w:val="007960CE"/>
    <w:rsid w:val="007B2879"/>
    <w:rsid w:val="007C155A"/>
    <w:rsid w:val="00806603"/>
    <w:rsid w:val="00837890"/>
    <w:rsid w:val="00842E07"/>
    <w:rsid w:val="0085752D"/>
    <w:rsid w:val="008700E6"/>
    <w:rsid w:val="008C0A06"/>
    <w:rsid w:val="008F73BF"/>
    <w:rsid w:val="00952BC0"/>
    <w:rsid w:val="00957EA0"/>
    <w:rsid w:val="00960DBC"/>
    <w:rsid w:val="009729A8"/>
    <w:rsid w:val="00975690"/>
    <w:rsid w:val="00981FD7"/>
    <w:rsid w:val="009A26C6"/>
    <w:rsid w:val="009B0CA0"/>
    <w:rsid w:val="009B3B17"/>
    <w:rsid w:val="009D094F"/>
    <w:rsid w:val="009F01CB"/>
    <w:rsid w:val="009F05D5"/>
    <w:rsid w:val="00A50628"/>
    <w:rsid w:val="00A53F8A"/>
    <w:rsid w:val="00A96820"/>
    <w:rsid w:val="00AB79B0"/>
    <w:rsid w:val="00AC1025"/>
    <w:rsid w:val="00AD12CC"/>
    <w:rsid w:val="00AD20F5"/>
    <w:rsid w:val="00AE52F3"/>
    <w:rsid w:val="00B30611"/>
    <w:rsid w:val="00B42E49"/>
    <w:rsid w:val="00B43BD5"/>
    <w:rsid w:val="00B44D83"/>
    <w:rsid w:val="00B53915"/>
    <w:rsid w:val="00B75120"/>
    <w:rsid w:val="00B90250"/>
    <w:rsid w:val="00BB381C"/>
    <w:rsid w:val="00BB5278"/>
    <w:rsid w:val="00BC055E"/>
    <w:rsid w:val="00BF106D"/>
    <w:rsid w:val="00BF11AB"/>
    <w:rsid w:val="00C0324D"/>
    <w:rsid w:val="00C15BBB"/>
    <w:rsid w:val="00C37A07"/>
    <w:rsid w:val="00C60051"/>
    <w:rsid w:val="00C67757"/>
    <w:rsid w:val="00C77A1D"/>
    <w:rsid w:val="00C801F3"/>
    <w:rsid w:val="00C95016"/>
    <w:rsid w:val="00C9751C"/>
    <w:rsid w:val="00CB1057"/>
    <w:rsid w:val="00CB17A3"/>
    <w:rsid w:val="00CB19D9"/>
    <w:rsid w:val="00CB4216"/>
    <w:rsid w:val="00CC127D"/>
    <w:rsid w:val="00CC60C7"/>
    <w:rsid w:val="00CE491E"/>
    <w:rsid w:val="00CF4D41"/>
    <w:rsid w:val="00D01AE3"/>
    <w:rsid w:val="00D21F1B"/>
    <w:rsid w:val="00D42C7B"/>
    <w:rsid w:val="00D5657C"/>
    <w:rsid w:val="00D856C6"/>
    <w:rsid w:val="00D85713"/>
    <w:rsid w:val="00D91576"/>
    <w:rsid w:val="00DA0E82"/>
    <w:rsid w:val="00DA5278"/>
    <w:rsid w:val="00DB327E"/>
    <w:rsid w:val="00DC6F6A"/>
    <w:rsid w:val="00DD1C33"/>
    <w:rsid w:val="00DD2F3F"/>
    <w:rsid w:val="00DF3645"/>
    <w:rsid w:val="00DF79E7"/>
    <w:rsid w:val="00E021E4"/>
    <w:rsid w:val="00E14D71"/>
    <w:rsid w:val="00E155E2"/>
    <w:rsid w:val="00E21608"/>
    <w:rsid w:val="00E32F37"/>
    <w:rsid w:val="00E36304"/>
    <w:rsid w:val="00E644C5"/>
    <w:rsid w:val="00EA651F"/>
    <w:rsid w:val="00EC5BC5"/>
    <w:rsid w:val="00ED1D18"/>
    <w:rsid w:val="00ED36EE"/>
    <w:rsid w:val="00F113F8"/>
    <w:rsid w:val="00F375BF"/>
    <w:rsid w:val="00F55419"/>
    <w:rsid w:val="00F6649D"/>
    <w:rsid w:val="00F97570"/>
    <w:rsid w:val="00FA2557"/>
    <w:rsid w:val="00FB12D8"/>
    <w:rsid w:val="00FE3222"/>
    <w:rsid w:val="00FE47DD"/>
    <w:rsid w:val="00FE60E2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6CC111-45BE-4D2A-82BE-B5E1C49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5B"/>
    <w:pPr>
      <w:ind w:left="720"/>
      <w:contextualSpacing/>
    </w:pPr>
  </w:style>
  <w:style w:type="table" w:styleId="TableGrid">
    <w:name w:val="Table Grid"/>
    <w:basedOn w:val="TableNormal"/>
    <w:rsid w:val="005C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C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C37A07"/>
    <w:rPr>
      <w:rFonts w:ascii="Arial" w:hAnsi="Arial"/>
      <w:sz w:val="20"/>
    </w:rPr>
  </w:style>
  <w:style w:type="paragraph" w:styleId="NoSpacing">
    <w:name w:val="No Spacing"/>
    <w:uiPriority w:val="1"/>
    <w:qFormat/>
    <w:rsid w:val="00C3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oleObject" Target="embeddings/oleObject1.bin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rpData02\Env\S&amp;P\Planning\Policy\Projects\City%20Deal\Master%20Data\Housing\Targets%20&amp;%20Charts\Housing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'Current construction progress'!$E$2</c:f>
              <c:strCache>
                <c:ptCount val="1"/>
                <c:pt idx="0">
                  <c:v>Predicted completions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7"/>
              <c:layout>
                <c:manualLayout>
                  <c:x val="-4.2958401947448604E-3"/>
                  <c:y val="1.5257857796765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'Current construction progress'!$A$6:$B$37</c:f>
              <c:multiLvlStrCache>
                <c:ptCount val="32"/>
                <c:lvl>
                  <c:pt idx="0">
                    <c:v>Cottam Hall Site K  (104)</c:v>
                  </c:pt>
                  <c:pt idx="1">
                    <c:v>Land South of Whittingham Road (79)</c:v>
                  </c:pt>
                  <c:pt idx="2">
                    <c:v>Wateringpool Lane (80)</c:v>
                  </c:pt>
                  <c:pt idx="3">
                    <c:v>Wheelton Lane ph 1 (234)</c:v>
                  </c:pt>
                  <c:pt idx="4">
                    <c:v>Arla Dairy, School Lane (209)</c:v>
                  </c:pt>
                  <c:pt idx="5">
                    <c:v>Maxy House Farm ph 1 (164)</c:v>
                  </c:pt>
                  <c:pt idx="6">
                    <c:v>Lightfoot Lane ph 1a (21)</c:v>
                  </c:pt>
                  <c:pt idx="7">
                    <c:v>Hoyles Lane (350)</c:v>
                  </c:pt>
                  <c:pt idx="8">
                    <c:v>Haydock Grange ph 1 (205)</c:v>
                  </c:pt>
                  <c:pt idx="9">
                    <c:v>Whittingham Hospital ph 1 (150)</c:v>
                  </c:pt>
                  <c:pt idx="10">
                    <c:v>Tetrad, New Hall Lane (119)</c:v>
                  </c:pt>
                  <c:pt idx="11">
                    <c:v>Cottam Hall  ph 2 (283)</c:v>
                  </c:pt>
                  <c:pt idx="12">
                    <c:v>Maxy House Farm ph 2 (136)</c:v>
                  </c:pt>
                  <c:pt idx="13">
                    <c:v>Rear of RC Primary School (24)</c:v>
                  </c:pt>
                  <c:pt idx="14">
                    <c:v>Lightfoot Green Lane (125)</c:v>
                  </c:pt>
                  <c:pt idx="15">
                    <c:v>North of Eastway (300)</c:v>
                  </c:pt>
                  <c:pt idx="16">
                    <c:v>Land off Ribblesdale Drive site 1 (67)</c:v>
                  </c:pt>
                  <c:pt idx="17">
                    <c:v>Goldenhill School, Cromwell Road (20)</c:v>
                  </c:pt>
                  <c:pt idx="18">
                    <c:v>Land off Liverpool Road, Hutton (46)</c:v>
                  </c:pt>
                  <c:pt idx="19">
                    <c:v>Spar Dist' Depot, Blackpool Road (41)</c:v>
                  </c:pt>
                  <c:pt idx="20">
                    <c:v>Moss Lane South of Southern (175)</c:v>
                  </c:pt>
                  <c:pt idx="21">
                    <c:v>Land North of D'urton Lane (112)</c:v>
                  </c:pt>
                  <c:pt idx="22">
                    <c:v>Land rr 122-152 Hoyles Lane (48)</c:v>
                  </c:pt>
                  <c:pt idx="23">
                    <c:v>Eastway (140)</c:v>
                  </c:pt>
                  <c:pt idx="24">
                    <c:v>Eastway Nurseries, Eastway (12)</c:v>
                  </c:pt>
                  <c:pt idx="25">
                    <c:v>Roadferry Depot (80)</c:v>
                  </c:pt>
                  <c:pt idx="26">
                    <c:v>Lightfoot Lane ph 2 (168)</c:v>
                  </c:pt>
                  <c:pt idx="27">
                    <c:v>Sharoe Green Hospital (55)</c:v>
                  </c:pt>
                  <c:pt idx="28">
                    <c:v>Sandyforth Lane (194)</c:v>
                  </c:pt>
                  <c:pt idx="29">
                    <c:v>Whittingam Road (Ridings Depot) ph1 (113)</c:v>
                  </c:pt>
                  <c:pt idx="30">
                    <c:v>110-116 Whittingham Lane, Broughton (61)</c:v>
                  </c:pt>
                  <c:pt idx="31">
                    <c:v>Land at Garstang Road, Barton (72)</c:v>
                  </c:pt>
                </c:lvl>
                <c:lvl>
                  <c:pt idx="0">
                    <c:v>Year 1</c:v>
                  </c:pt>
                  <c:pt idx="5">
                    <c:v>Year 2</c:v>
                  </c:pt>
                  <c:pt idx="11">
                    <c:v>Year 3</c:v>
                  </c:pt>
                  <c:pt idx="21">
                    <c:v>Year 4</c:v>
                  </c:pt>
                </c:lvl>
              </c:multiLvlStrCache>
            </c:multiLvlStrRef>
          </c:cat>
          <c:val>
            <c:numRef>
              <c:f>'Current construction progress'!$E$6:$E$38</c:f>
              <c:numCache>
                <c:formatCode>General</c:formatCode>
                <c:ptCount val="33"/>
                <c:pt idx="0">
                  <c:v>15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10</c:v>
                </c:pt>
                <c:pt idx="5">
                  <c:v>30</c:v>
                </c:pt>
                <c:pt idx="6">
                  <c:v>5</c:v>
                </c:pt>
                <c:pt idx="7">
                  <c:v>14</c:v>
                </c:pt>
                <c:pt idx="8">
                  <c:v>25</c:v>
                </c:pt>
                <c:pt idx="9">
                  <c:v>15</c:v>
                </c:pt>
                <c:pt idx="10">
                  <c:v>25</c:v>
                </c:pt>
                <c:pt idx="11">
                  <c:v>20</c:v>
                </c:pt>
                <c:pt idx="12">
                  <c:v>30</c:v>
                </c:pt>
                <c:pt idx="13">
                  <c:v>7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10</c:v>
                </c:pt>
                <c:pt idx="18">
                  <c:v>0</c:v>
                </c:pt>
                <c:pt idx="19">
                  <c:v>15</c:v>
                </c:pt>
                <c:pt idx="20">
                  <c:v>20</c:v>
                </c:pt>
                <c:pt idx="21">
                  <c:v>15</c:v>
                </c:pt>
                <c:pt idx="22">
                  <c:v>12</c:v>
                </c:pt>
                <c:pt idx="23">
                  <c:v>0</c:v>
                </c:pt>
                <c:pt idx="24">
                  <c:v>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5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</c:ser>
        <c:ser>
          <c:idx val="0"/>
          <c:order val="1"/>
          <c:tx>
            <c:strRef>
              <c:f>'Current construction progress'!$F$2</c:f>
              <c:strCache>
                <c:ptCount val="1"/>
                <c:pt idx="0">
                  <c:v>Actual completions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7"/>
              <c:layout>
                <c:manualLayout>
                  <c:x val="4.2958401947447555E-3"/>
                  <c:y val="1.5257857796765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1.4319467315815852E-3"/>
                  <c:y val="6.103143118706133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'Current construction progress'!$A$6:$B$37</c:f>
              <c:multiLvlStrCache>
                <c:ptCount val="32"/>
                <c:lvl>
                  <c:pt idx="0">
                    <c:v>Cottam Hall Site K  (104)</c:v>
                  </c:pt>
                  <c:pt idx="1">
                    <c:v>Land South of Whittingham Road (79)</c:v>
                  </c:pt>
                  <c:pt idx="2">
                    <c:v>Wateringpool Lane (80)</c:v>
                  </c:pt>
                  <c:pt idx="3">
                    <c:v>Wheelton Lane ph 1 (234)</c:v>
                  </c:pt>
                  <c:pt idx="4">
                    <c:v>Arla Dairy, School Lane (209)</c:v>
                  </c:pt>
                  <c:pt idx="5">
                    <c:v>Maxy House Farm ph 1 (164)</c:v>
                  </c:pt>
                  <c:pt idx="6">
                    <c:v>Lightfoot Lane ph 1a (21)</c:v>
                  </c:pt>
                  <c:pt idx="7">
                    <c:v>Hoyles Lane (350)</c:v>
                  </c:pt>
                  <c:pt idx="8">
                    <c:v>Haydock Grange ph 1 (205)</c:v>
                  </c:pt>
                  <c:pt idx="9">
                    <c:v>Whittingham Hospital ph 1 (150)</c:v>
                  </c:pt>
                  <c:pt idx="10">
                    <c:v>Tetrad, New Hall Lane (119)</c:v>
                  </c:pt>
                  <c:pt idx="11">
                    <c:v>Cottam Hall  ph 2 (283)</c:v>
                  </c:pt>
                  <c:pt idx="12">
                    <c:v>Maxy House Farm ph 2 (136)</c:v>
                  </c:pt>
                  <c:pt idx="13">
                    <c:v>Rear of RC Primary School (24)</c:v>
                  </c:pt>
                  <c:pt idx="14">
                    <c:v>Lightfoot Green Lane (125)</c:v>
                  </c:pt>
                  <c:pt idx="15">
                    <c:v>North of Eastway (300)</c:v>
                  </c:pt>
                  <c:pt idx="16">
                    <c:v>Land off Ribblesdale Drive site 1 (67)</c:v>
                  </c:pt>
                  <c:pt idx="17">
                    <c:v>Goldenhill School, Cromwell Road (20)</c:v>
                  </c:pt>
                  <c:pt idx="18">
                    <c:v>Land off Liverpool Road, Hutton (46)</c:v>
                  </c:pt>
                  <c:pt idx="19">
                    <c:v>Spar Dist' Depot, Blackpool Road (41)</c:v>
                  </c:pt>
                  <c:pt idx="20">
                    <c:v>Moss Lane South of Southern (175)</c:v>
                  </c:pt>
                  <c:pt idx="21">
                    <c:v>Land North of D'urton Lane (112)</c:v>
                  </c:pt>
                  <c:pt idx="22">
                    <c:v>Land rr 122-152 Hoyles Lane (48)</c:v>
                  </c:pt>
                  <c:pt idx="23">
                    <c:v>Eastway (140)</c:v>
                  </c:pt>
                  <c:pt idx="24">
                    <c:v>Eastway Nurseries, Eastway (12)</c:v>
                  </c:pt>
                  <c:pt idx="25">
                    <c:v>Roadferry Depot (80)</c:v>
                  </c:pt>
                  <c:pt idx="26">
                    <c:v>Lightfoot Lane ph 2 (168)</c:v>
                  </c:pt>
                  <c:pt idx="27">
                    <c:v>Sharoe Green Hospital (55)</c:v>
                  </c:pt>
                  <c:pt idx="28">
                    <c:v>Sandyforth Lane (194)</c:v>
                  </c:pt>
                  <c:pt idx="29">
                    <c:v>Whittingam Road (Ridings Depot) ph1 (113)</c:v>
                  </c:pt>
                  <c:pt idx="30">
                    <c:v>110-116 Whittingham Lane, Broughton (61)</c:v>
                  </c:pt>
                  <c:pt idx="31">
                    <c:v>Land at Garstang Road, Barton (72)</c:v>
                  </c:pt>
                </c:lvl>
                <c:lvl>
                  <c:pt idx="0">
                    <c:v>Year 1</c:v>
                  </c:pt>
                  <c:pt idx="5">
                    <c:v>Year 2</c:v>
                  </c:pt>
                  <c:pt idx="11">
                    <c:v>Year 3</c:v>
                  </c:pt>
                  <c:pt idx="21">
                    <c:v>Year 4</c:v>
                  </c:pt>
                </c:lvl>
              </c:multiLvlStrCache>
            </c:multiLvlStrRef>
          </c:cat>
          <c:val>
            <c:numRef>
              <c:f>'Current construction progress'!$F$6:$F$38</c:f>
              <c:numCache>
                <c:formatCode>General</c:formatCode>
                <c:ptCount val="33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21</c:v>
                </c:pt>
                <c:pt idx="4">
                  <c:v>15</c:v>
                </c:pt>
                <c:pt idx="5">
                  <c:v>20</c:v>
                </c:pt>
                <c:pt idx="6">
                  <c:v>0</c:v>
                </c:pt>
                <c:pt idx="7">
                  <c:v>9</c:v>
                </c:pt>
                <c:pt idx="8">
                  <c:v>15</c:v>
                </c:pt>
                <c:pt idx="9">
                  <c:v>18</c:v>
                </c:pt>
                <c:pt idx="10">
                  <c:v>41</c:v>
                </c:pt>
                <c:pt idx="11">
                  <c:v>22</c:v>
                </c:pt>
                <c:pt idx="12">
                  <c:v>43</c:v>
                </c:pt>
                <c:pt idx="13">
                  <c:v>11</c:v>
                </c:pt>
                <c:pt idx="14">
                  <c:v>8</c:v>
                </c:pt>
                <c:pt idx="15">
                  <c:v>24</c:v>
                </c:pt>
                <c:pt idx="16">
                  <c:v>18</c:v>
                </c:pt>
                <c:pt idx="17">
                  <c:v>10</c:v>
                </c:pt>
                <c:pt idx="18">
                  <c:v>3</c:v>
                </c:pt>
                <c:pt idx="19">
                  <c:v>39</c:v>
                </c:pt>
                <c:pt idx="20">
                  <c:v>18</c:v>
                </c:pt>
                <c:pt idx="21">
                  <c:v>6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</c:v>
                </c:pt>
                <c:pt idx="3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0190040"/>
        <c:axId val="630189648"/>
      </c:barChart>
      <c:catAx>
        <c:axId val="630190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89648"/>
        <c:crosses val="autoZero"/>
        <c:auto val="1"/>
        <c:lblAlgn val="ctr"/>
        <c:lblOffset val="100"/>
        <c:noMultiLvlLbl val="0"/>
      </c:catAx>
      <c:valAx>
        <c:axId val="6301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190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Mulla, Hussein</dc:creator>
  <cp:keywords/>
  <dc:description/>
  <cp:lastModifiedBy>Hudson, Joanne</cp:lastModifiedBy>
  <cp:revision>53</cp:revision>
  <cp:lastPrinted>2017-11-16T10:47:00Z</cp:lastPrinted>
  <dcterms:created xsi:type="dcterms:W3CDTF">2017-10-03T08:44:00Z</dcterms:created>
  <dcterms:modified xsi:type="dcterms:W3CDTF">2017-11-21T13:43:00Z</dcterms:modified>
</cp:coreProperties>
</file>